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 xml:space="preserve">All forms of canvassing will automatically disqualify candidates from appointment </w:t>
            </w:r>
            <w:proofErr w:type="gramStart"/>
            <w:r w:rsidRPr="00C228B8">
              <w:rPr>
                <w:color w:val="17365D" w:themeColor="text2" w:themeShade="BF"/>
                <w:sz w:val="20"/>
                <w:szCs w:val="20"/>
              </w:rPr>
              <w:t>e.g.</w:t>
            </w:r>
            <w:proofErr w:type="gramEnd"/>
            <w:r w:rsidRPr="00C228B8">
              <w:rPr>
                <w:color w:val="17365D" w:themeColor="text2" w:themeShade="BF"/>
                <w:sz w:val="20"/>
                <w:szCs w:val="20"/>
              </w:rPr>
              <w:t xml:space="preserve">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605DBC"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3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05DBC"/>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Annette Burgess</cp:lastModifiedBy>
  <cp:revision>2</cp:revision>
  <cp:lastPrinted>2016-05-20T07:59:00Z</cp:lastPrinted>
  <dcterms:created xsi:type="dcterms:W3CDTF">2023-12-04T10:07:00Z</dcterms:created>
  <dcterms:modified xsi:type="dcterms:W3CDTF">2023-12-04T10:07:00Z</dcterms:modified>
</cp:coreProperties>
</file>