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rPr>
        <w:t>Role Profile Addendum</w:t>
      </w:r>
      <w:r w:rsidR="008F6E57" w:rsidRPr="00276646">
        <w:t xml:space="preserve"> </w:t>
      </w:r>
    </w:p>
    <w:p w14:paraId="77429D9B" w14:textId="77777777" w:rsidR="002728D9" w:rsidRPr="00276646" w:rsidRDefault="002728D9" w:rsidP="002728D9">
      <w:r w:rsidRPr="00276646">
        <w:rPr>
          <w:b/>
        </w:rPr>
        <w:t>(to be completed for generic role profiles, mapped to multiple positions)</w:t>
      </w:r>
      <w:r w:rsidRPr="00276646">
        <w:t>   </w:t>
      </w:r>
    </w:p>
    <w:p w14:paraId="4CF360B6" w14:textId="42D11AB4" w:rsidR="002728D9" w:rsidRPr="00276646" w:rsidRDefault="002728D9" w:rsidP="002728D9">
      <w:r w:rsidRPr="00276646">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439C1D80">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color w:val="FFFFFF"/>
                <w:kern w:val="0"/>
                <w:lang w:eastAsia="en-GB"/>
                <w14:ligatures w14:val="none"/>
              </w:rPr>
            </w:pPr>
            <w:r w:rsidRPr="00276646">
              <w:t> </w:t>
            </w:r>
            <w:r w:rsidR="0004713B" w:rsidRPr="00276646">
              <w:rPr>
                <w:rFonts w:eastAsia="Times New Roman"/>
                <w:b/>
                <w:color w:val="FFFFFF"/>
                <w:kern w:val="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tcPr>
          <w:p w14:paraId="75991BBD" w14:textId="6B8B666C" w:rsidR="0004713B" w:rsidRPr="00276646" w:rsidRDefault="001472E6" w:rsidP="00FE5B9C">
            <w:pPr>
              <w:spacing w:after="0" w:line="240" w:lineRule="auto"/>
              <w:rPr>
                <w:rFonts w:eastAsia="Times New Roman"/>
                <w:color w:val="000000"/>
                <w:kern w:val="0"/>
                <w:lang w:eastAsia="en-GB"/>
                <w14:ligatures w14:val="none"/>
              </w:rPr>
            </w:pPr>
            <w:r w:rsidRPr="001472E6">
              <w:rPr>
                <w:rFonts w:eastAsia="Times New Roman"/>
                <w:color w:val="000000"/>
                <w:kern w:val="0"/>
                <w:lang w:eastAsia="en-GB"/>
                <w14:ligatures w14:val="none"/>
              </w:rPr>
              <w:t>Traffic Data Tech</w:t>
            </w:r>
            <w:r w:rsidR="00877064">
              <w:rPr>
                <w:rFonts w:eastAsia="Times New Roman"/>
                <w:color w:val="000000"/>
                <w:kern w:val="0"/>
                <w:lang w:eastAsia="en-GB"/>
                <w14:ligatures w14:val="none"/>
              </w:rPr>
              <w:t xml:space="preserve"> </w:t>
            </w:r>
          </w:p>
        </w:tc>
      </w:tr>
      <w:tr w:rsidR="0004713B" w:rsidRPr="0004713B" w14:paraId="57ABDC96" w14:textId="77777777" w:rsidTr="439C1D80">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53034CFF" w:rsidR="0004713B" w:rsidRPr="00276646" w:rsidRDefault="0004713B" w:rsidP="71F1DBAE">
            <w:pPr>
              <w:spacing w:after="0" w:line="240" w:lineRule="auto"/>
              <w:rPr>
                <w:rFonts w:eastAsia="Times New Roman"/>
                <w:b/>
                <w:bCs/>
                <w:color w:val="FFFFFF"/>
                <w:kern w:val="0"/>
                <w:lang w:eastAsia="en-GB"/>
                <w14:ligatures w14:val="none"/>
              </w:rPr>
            </w:pPr>
            <w:r w:rsidRPr="71F1DBAE">
              <w:rPr>
                <w:rFonts w:eastAsia="Times New Roman"/>
                <w:b/>
                <w:bCs/>
                <w:color w:val="FFFFFF"/>
                <w:kern w:val="0"/>
                <w:lang w:eastAsia="en-GB"/>
                <w14:ligatures w14:val="none"/>
              </w:rPr>
              <w:t>Role Profile Ref:</w:t>
            </w:r>
          </w:p>
        </w:tc>
        <w:tc>
          <w:tcPr>
            <w:tcW w:w="6304" w:type="dxa"/>
            <w:tcBorders>
              <w:top w:val="single" w:sz="7" w:space="0" w:color="auto"/>
              <w:left w:val="nil"/>
              <w:bottom w:val="single" w:sz="3" w:space="0" w:color="auto"/>
              <w:right w:val="single" w:sz="7" w:space="0" w:color="auto"/>
            </w:tcBorders>
            <w:vAlign w:val="center"/>
          </w:tcPr>
          <w:p w14:paraId="44C1BE3C" w14:textId="6E9C5D3F" w:rsidR="0004713B" w:rsidRPr="00276646" w:rsidRDefault="008B7B64" w:rsidP="00877064">
            <w:pPr>
              <w:rPr>
                <w:rFonts w:eastAsia="Arial"/>
                <w:kern w:val="0"/>
                <w14:ligatures w14:val="none"/>
              </w:rPr>
            </w:pPr>
            <w:r>
              <w:t>GRO029</w:t>
            </w:r>
          </w:p>
        </w:tc>
      </w:tr>
      <w:tr w:rsidR="00104263" w:rsidRPr="0004713B" w14:paraId="74DC8504" w14:textId="77777777" w:rsidTr="439C1D80">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40ADB68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Title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tcPr>
          <w:p w14:paraId="122A1E63" w14:textId="3DC64B32" w:rsidR="00104263" w:rsidRPr="00276646" w:rsidRDefault="00877064" w:rsidP="00FE5B9C">
            <w:pPr>
              <w:spacing w:after="0"/>
              <w:rPr>
                <w:rFonts w:eastAsia="Times New Roman"/>
                <w:color w:val="000000"/>
                <w:kern w:val="0"/>
                <w:lang w:eastAsia="en-GB"/>
                <w14:ligatures w14:val="none"/>
              </w:rPr>
            </w:pPr>
            <w:r>
              <w:t>Transportation Engineering Technician</w:t>
            </w:r>
          </w:p>
        </w:tc>
      </w:tr>
      <w:tr w:rsidR="00104263" w:rsidRPr="0004713B" w14:paraId="318EAAF2" w14:textId="77777777" w:rsidTr="439C1D80">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633FC4A9"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Directorate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3EB49A42" w14:textId="0DCD8A00" w:rsidR="00104263" w:rsidRPr="00276646" w:rsidRDefault="00877064"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Planning &amp; Transport</w:t>
            </w:r>
          </w:p>
        </w:tc>
      </w:tr>
      <w:tr w:rsidR="00104263" w:rsidRPr="0004713B" w14:paraId="4A584057" w14:textId="77777777" w:rsidTr="439C1D80">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2068780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Service area</w:t>
            </w:r>
            <w:r w:rsidR="00BD5F3C">
              <w:rPr>
                <w:rFonts w:eastAsia="Times New Roman"/>
                <w:b/>
                <w:color w:val="FFFFFF"/>
                <w:kern w:val="0"/>
                <w:lang w:eastAsia="en-GB"/>
                <w14:ligatures w14:val="none"/>
              </w:rPr>
              <w:t>:</w:t>
            </w:r>
          </w:p>
        </w:tc>
        <w:tc>
          <w:tcPr>
            <w:tcW w:w="6304" w:type="dxa"/>
            <w:tcBorders>
              <w:top w:val="nil"/>
              <w:left w:val="nil"/>
              <w:bottom w:val="single" w:sz="7" w:space="0" w:color="auto"/>
              <w:right w:val="single" w:sz="7" w:space="0" w:color="auto"/>
            </w:tcBorders>
            <w:vAlign w:val="center"/>
            <w:hideMark/>
          </w:tcPr>
          <w:p w14:paraId="26349581" w14:textId="692D8581" w:rsidR="00104263" w:rsidRPr="00276646" w:rsidRDefault="00877064" w:rsidP="00DF2342">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Transport &amp; Sustainable Travel</w:t>
            </w:r>
          </w:p>
        </w:tc>
      </w:tr>
    </w:tbl>
    <w:p w14:paraId="2FD20B46" w14:textId="01EA3D22" w:rsidR="002728D9" w:rsidRPr="00276646" w:rsidRDefault="002728D9" w:rsidP="002728D9"/>
    <w:tbl>
      <w:tblPr>
        <w:tblW w:w="1346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
        <w:gridCol w:w="13332"/>
      </w:tblGrid>
      <w:tr w:rsidR="002728D9" w:rsidRPr="002728D9" w14:paraId="3801DABA" w14:textId="77777777" w:rsidTr="00F35016">
        <w:trPr>
          <w:trHeight w:val="555"/>
        </w:trPr>
        <w:tc>
          <w:tcPr>
            <w:tcW w:w="13467"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rPr>
              <w:t>Specific responsibilities associated with this position</w:t>
            </w:r>
            <w:r w:rsidRPr="00276646">
              <w:t> </w:t>
            </w:r>
          </w:p>
        </w:tc>
      </w:tr>
      <w:tr w:rsidR="002728D9" w:rsidRPr="002728D9" w14:paraId="11E5DDE6" w14:textId="77777777" w:rsidTr="00BA705E">
        <w:trPr>
          <w:trHeight w:val="1950"/>
        </w:trPr>
        <w:tc>
          <w:tcPr>
            <w:tcW w:w="13467" w:type="dxa"/>
            <w:gridSpan w:val="2"/>
            <w:tcBorders>
              <w:top w:val="nil"/>
              <w:left w:val="single" w:sz="6" w:space="0" w:color="auto"/>
              <w:bottom w:val="nil"/>
              <w:right w:val="single" w:sz="6" w:space="0" w:color="auto"/>
            </w:tcBorders>
          </w:tcPr>
          <w:p w14:paraId="7D2AAD0C" w14:textId="2CE20EBA" w:rsidR="00BA705E" w:rsidRPr="00BA705E" w:rsidRDefault="00BA705E" w:rsidP="00BA705E">
            <w:pPr>
              <w:spacing w:after="0" w:line="300" w:lineRule="atLeast"/>
            </w:pPr>
          </w:p>
          <w:p w14:paraId="693D9F0A" w14:textId="3ED7510A" w:rsidR="00BA705E" w:rsidRPr="00BA705E" w:rsidRDefault="00BA705E" w:rsidP="00BA705E">
            <w:pPr>
              <w:spacing w:after="0" w:line="300" w:lineRule="atLeast"/>
            </w:pPr>
            <w:r w:rsidRPr="00BA705E">
              <w:t xml:space="preserve">This addendum describes the specific operational context and additional responsibilities associated with the </w:t>
            </w:r>
            <w:r w:rsidR="009D090C">
              <w:t>Traffic Data Technician</w:t>
            </w:r>
            <w:r w:rsidRPr="00BA705E">
              <w:t xml:space="preserve"> role within </w:t>
            </w:r>
            <w:r w:rsidR="00675170">
              <w:rPr>
                <w:rFonts w:eastAsia="Times New Roman"/>
                <w:color w:val="000000"/>
                <w:kern w:val="0"/>
                <w:lang w:eastAsia="en-GB"/>
                <w14:ligatures w14:val="none"/>
              </w:rPr>
              <w:t>Transport &amp; Sustainable Travel</w:t>
            </w:r>
            <w:r w:rsidRPr="00BA705E">
              <w:t xml:space="preserve">. The core purpose, grade and evaluated factors of the </w:t>
            </w:r>
            <w:r w:rsidR="00950AEB">
              <w:t>GRO029</w:t>
            </w:r>
            <w:r w:rsidRPr="00BA705E">
              <w:t xml:space="preserve"> role profile remain unchanged. The addendum clarifies how the role is applied in this service area to support commercial income generation and statutory service outcomes.</w:t>
            </w:r>
          </w:p>
          <w:p w14:paraId="18813D33" w14:textId="77777777" w:rsidR="00BA705E" w:rsidRDefault="00BA705E" w:rsidP="00BA705E">
            <w:pPr>
              <w:spacing w:after="0" w:line="300" w:lineRule="atLeast"/>
            </w:pPr>
          </w:p>
          <w:p w14:paraId="7C0B423B" w14:textId="5DD206FF" w:rsidR="00BA705E" w:rsidRPr="00BA705E" w:rsidRDefault="00BA705E" w:rsidP="001444C1">
            <w:pPr>
              <w:pStyle w:val="ListParagraph"/>
              <w:numPr>
                <w:ilvl w:val="0"/>
                <w:numId w:val="2"/>
              </w:numPr>
              <w:spacing w:after="0" w:line="300" w:lineRule="atLeast"/>
            </w:pPr>
            <w:r w:rsidRPr="00BA705E">
              <w:t>Service Context</w:t>
            </w:r>
          </w:p>
          <w:p w14:paraId="56F8DE73" w14:textId="3269BBA7" w:rsidR="00BA705E" w:rsidRDefault="00BA705E" w:rsidP="00BA705E">
            <w:pPr>
              <w:spacing w:after="0" w:line="300" w:lineRule="atLeast"/>
            </w:pPr>
            <w:r w:rsidRPr="00BA705E">
              <w:t xml:space="preserve">Within </w:t>
            </w:r>
            <w:r w:rsidR="003E3556">
              <w:t>Transport &amp; Sustainable Travel</w:t>
            </w:r>
            <w:r w:rsidRPr="00BA705E">
              <w:t xml:space="preserve">, the role operates in an environment with a strong focus on </w:t>
            </w:r>
            <w:r w:rsidR="000902E2">
              <w:t>data collection, data analysis</w:t>
            </w:r>
            <w:r w:rsidR="00742300">
              <w:t xml:space="preserve">, data visualisation and </w:t>
            </w:r>
            <w:r w:rsidR="00DB3EBB">
              <w:t>monitoring and evaluation</w:t>
            </w:r>
            <w:r w:rsidRPr="00BA705E">
              <w:t xml:space="preserve">. </w:t>
            </w:r>
            <w:r w:rsidR="00AE3D9B">
              <w:t xml:space="preserve">Traffic Data </w:t>
            </w:r>
            <w:r w:rsidR="00137A0F">
              <w:t>Technicians</w:t>
            </w:r>
            <w:r w:rsidRPr="00BA705E">
              <w:t xml:space="preserve"> support services </w:t>
            </w:r>
            <w:r w:rsidR="00F14D78">
              <w:t>to inform, drive and improve transport policy, strategy and systems</w:t>
            </w:r>
            <w:r w:rsidRPr="00BA705E">
              <w:t>.</w:t>
            </w:r>
          </w:p>
          <w:p w14:paraId="29E41959" w14:textId="77777777" w:rsidR="00BA705E" w:rsidRPr="00BA705E" w:rsidRDefault="00BA705E" w:rsidP="00BA705E">
            <w:pPr>
              <w:spacing w:after="0" w:line="300" w:lineRule="atLeast"/>
            </w:pPr>
          </w:p>
          <w:p w14:paraId="247AB5EC" w14:textId="110C4DEF" w:rsidR="00BA705E" w:rsidRPr="00BA705E" w:rsidRDefault="00C45B3A" w:rsidP="001444C1">
            <w:pPr>
              <w:pStyle w:val="ListParagraph"/>
              <w:numPr>
                <w:ilvl w:val="0"/>
                <w:numId w:val="2"/>
              </w:numPr>
              <w:spacing w:after="0" w:line="300" w:lineRule="atLeast"/>
            </w:pPr>
            <w:r>
              <w:t xml:space="preserve">GIS and </w:t>
            </w:r>
            <w:r w:rsidR="00C51D53">
              <w:t>accessibility</w:t>
            </w:r>
            <w:r>
              <w:t xml:space="preserve"> </w:t>
            </w:r>
            <w:r w:rsidR="00C51D53">
              <w:t>analysis</w:t>
            </w:r>
          </w:p>
          <w:p w14:paraId="642C04AF" w14:textId="4684A21C" w:rsidR="006A6716" w:rsidRDefault="001124B1" w:rsidP="00BA705E">
            <w:pPr>
              <w:spacing w:after="0" w:line="300" w:lineRule="atLeast"/>
            </w:pPr>
            <w:r>
              <w:lastRenderedPageBreak/>
              <w:t>T</w:t>
            </w:r>
            <w:r w:rsidR="00BA705E" w:rsidRPr="00BA705E">
              <w:t xml:space="preserve">he role contributes to the </w:t>
            </w:r>
            <w:r w:rsidR="00275E47">
              <w:t xml:space="preserve">provision of </w:t>
            </w:r>
            <w:r w:rsidR="00742A83">
              <w:rPr>
                <w:bCs/>
              </w:rPr>
              <w:t xml:space="preserve">GIS and </w:t>
            </w:r>
            <w:r w:rsidR="00742A83" w:rsidRPr="00623E2A">
              <w:t>travel time</w:t>
            </w:r>
            <w:r w:rsidR="00742A83">
              <w:t xml:space="preserve"> information</w:t>
            </w:r>
            <w:r w:rsidR="00BA705E" w:rsidRPr="00BA705E">
              <w:t>. While working under the direction of</w:t>
            </w:r>
            <w:r w:rsidR="00742A83">
              <w:t xml:space="preserve"> the Transport Policy Team Leader</w:t>
            </w:r>
            <w:r w:rsidR="00BA705E" w:rsidRPr="00BA705E">
              <w:t>, the post</w:t>
            </w:r>
            <w:r w:rsidR="00BA705E" w:rsidRPr="00BA705E">
              <w:noBreakHyphen/>
              <w:t xml:space="preserve">holder is expected to take responsibility for </w:t>
            </w:r>
            <w:r w:rsidR="00375EF0" w:rsidRPr="00375EF0">
              <w:t>collect</w:t>
            </w:r>
            <w:r w:rsidR="00375EF0">
              <w:t>ing</w:t>
            </w:r>
            <w:r w:rsidR="00375EF0" w:rsidRPr="00375EF0">
              <w:t>, analys</w:t>
            </w:r>
            <w:r w:rsidR="00375EF0">
              <w:t>ing</w:t>
            </w:r>
            <w:r w:rsidR="00375EF0" w:rsidRPr="00375EF0">
              <w:t xml:space="preserve"> and interpret</w:t>
            </w:r>
            <w:r w:rsidR="00FD7EB5">
              <w:t>ing</w:t>
            </w:r>
            <w:r w:rsidR="00375EF0" w:rsidRPr="00375EF0">
              <w:t xml:space="preserve"> traffic data to identify trends, assess traffic patterns</w:t>
            </w:r>
            <w:r w:rsidR="00B9669A">
              <w:t>,</w:t>
            </w:r>
            <w:r w:rsidR="00375EF0" w:rsidRPr="00375EF0">
              <w:t xml:space="preserve"> and support traffic engineering decisions, often using software and tools to analyse data and create reports</w:t>
            </w:r>
            <w:r w:rsidR="00FD7EB5">
              <w:t>.</w:t>
            </w:r>
          </w:p>
          <w:p w14:paraId="3CF66168" w14:textId="77777777" w:rsidR="00BA705E" w:rsidRPr="00BA705E" w:rsidRDefault="00BA705E" w:rsidP="00BA705E">
            <w:pPr>
              <w:spacing w:after="0" w:line="300" w:lineRule="atLeast"/>
            </w:pPr>
          </w:p>
          <w:p w14:paraId="7FB88646" w14:textId="63096C96" w:rsidR="00BA705E" w:rsidRPr="00BA705E" w:rsidRDefault="00BA705E" w:rsidP="001444C1">
            <w:pPr>
              <w:pStyle w:val="ListParagraph"/>
              <w:numPr>
                <w:ilvl w:val="0"/>
                <w:numId w:val="2"/>
              </w:numPr>
              <w:spacing w:after="0" w:line="300" w:lineRule="atLeast"/>
            </w:pPr>
            <w:r w:rsidRPr="00BA705E">
              <w:t>Financial and Commercial Activity</w:t>
            </w:r>
          </w:p>
          <w:p w14:paraId="65041CA5" w14:textId="75008DCD" w:rsidR="00BA705E" w:rsidRDefault="00BA705E" w:rsidP="00BA705E">
            <w:pPr>
              <w:spacing w:after="0" w:line="300" w:lineRule="atLeast"/>
            </w:pPr>
            <w:r w:rsidRPr="00BA705E">
              <w:t xml:space="preserve">As part of </w:t>
            </w:r>
            <w:r w:rsidR="00231CC2">
              <w:t>traffic monitoring activity</w:t>
            </w:r>
            <w:r w:rsidRPr="00BA705E">
              <w:t xml:space="preserve">, the role supports </w:t>
            </w:r>
            <w:r w:rsidR="003E3556">
              <w:t>Transport &amp; Sustainable Travel</w:t>
            </w:r>
            <w:r w:rsidRPr="00BA705E">
              <w:t xml:space="preserve"> activity, including assisting with budget monitoring, income tracking and invoicing related to council </w:t>
            </w:r>
            <w:r w:rsidR="00231CC2">
              <w:t xml:space="preserve">traffic data </w:t>
            </w:r>
            <w:r w:rsidR="005066CE">
              <w:t xml:space="preserve">survey </w:t>
            </w:r>
            <w:r w:rsidRPr="00BA705E">
              <w:t xml:space="preserve">contracts. This activity supports transparency and accuracy in </w:t>
            </w:r>
            <w:r w:rsidR="00231CC2">
              <w:t>traffic monitoring</w:t>
            </w:r>
            <w:r w:rsidRPr="00BA705E">
              <w:t xml:space="preserve"> but does not include ownership of budgets or financial decision</w:t>
            </w:r>
            <w:r w:rsidRPr="00BA705E">
              <w:noBreakHyphen/>
              <w:t>making authority.</w:t>
            </w:r>
          </w:p>
          <w:p w14:paraId="6FA80DED" w14:textId="77777777" w:rsidR="00275E88" w:rsidRPr="00BA705E" w:rsidRDefault="00275E88" w:rsidP="00BA705E">
            <w:pPr>
              <w:spacing w:after="0" w:line="300" w:lineRule="atLeast"/>
            </w:pPr>
          </w:p>
          <w:p w14:paraId="69CBD176" w14:textId="7AC89E8C" w:rsidR="00BA705E" w:rsidRPr="00BA705E" w:rsidRDefault="00BA705E" w:rsidP="001444C1">
            <w:pPr>
              <w:pStyle w:val="ListParagraph"/>
              <w:numPr>
                <w:ilvl w:val="0"/>
                <w:numId w:val="2"/>
              </w:numPr>
              <w:spacing w:after="0" w:line="300" w:lineRule="atLeast"/>
            </w:pPr>
            <w:r w:rsidRPr="00BA705E">
              <w:t>Data, Insight and Evaluation</w:t>
            </w:r>
          </w:p>
          <w:p w14:paraId="4B2F8ECF" w14:textId="4E2D80E4" w:rsidR="00BA705E" w:rsidRDefault="00BA705E" w:rsidP="00BA705E">
            <w:pPr>
              <w:spacing w:after="0" w:line="300" w:lineRule="atLeast"/>
            </w:pPr>
            <w:r w:rsidRPr="00BA705E">
              <w:t xml:space="preserve">The role makes active use of research and performance data to inform </w:t>
            </w:r>
            <w:r w:rsidR="00071B18">
              <w:t>transport policy, strategy and scheme</w:t>
            </w:r>
            <w:r w:rsidRPr="00BA705E">
              <w:t xml:space="preserve"> development and evaluation. This includes use of insight tools, and analysis of </w:t>
            </w:r>
            <w:r w:rsidR="00643181">
              <w:t>trends</w:t>
            </w:r>
            <w:r w:rsidRPr="00BA705E">
              <w:t xml:space="preserve"> to support test</w:t>
            </w:r>
            <w:r w:rsidRPr="00BA705E">
              <w:noBreakHyphen/>
              <w:t>and</w:t>
            </w:r>
            <w:r w:rsidRPr="00BA705E">
              <w:noBreakHyphen/>
              <w:t>learn approaches and continuous improvement. Analysis remains proportionate and is used to inform recommendations rather than to set strategy.</w:t>
            </w:r>
          </w:p>
          <w:p w14:paraId="47A2DBEF" w14:textId="77777777" w:rsidR="00275E88" w:rsidRPr="00BA705E" w:rsidRDefault="00275E88" w:rsidP="00BA705E">
            <w:pPr>
              <w:spacing w:after="0" w:line="300" w:lineRule="atLeast"/>
            </w:pPr>
          </w:p>
          <w:p w14:paraId="7A866719" w14:textId="285B0029" w:rsidR="00BA705E" w:rsidRPr="00BA705E" w:rsidRDefault="00BA705E" w:rsidP="001444C1">
            <w:pPr>
              <w:pStyle w:val="ListParagraph"/>
              <w:numPr>
                <w:ilvl w:val="0"/>
                <w:numId w:val="2"/>
              </w:numPr>
              <w:spacing w:after="0" w:line="300" w:lineRule="atLeast"/>
            </w:pPr>
            <w:r w:rsidRPr="00BA705E">
              <w:t>Stakeholder Engagement</w:t>
            </w:r>
          </w:p>
          <w:p w14:paraId="112E2A5D" w14:textId="654070E1" w:rsidR="00BA705E" w:rsidRPr="00BA705E" w:rsidRDefault="00BA705E" w:rsidP="00BA705E">
            <w:pPr>
              <w:spacing w:after="0" w:line="300" w:lineRule="atLeast"/>
            </w:pPr>
            <w:r w:rsidRPr="00BA705E">
              <w:t xml:space="preserve">In </w:t>
            </w:r>
            <w:r w:rsidR="003E3556">
              <w:t>Transport &amp; Sustainable Travel</w:t>
            </w:r>
            <w:r w:rsidRPr="00BA705E">
              <w:t xml:space="preserve">, the role works closely with a wide range of internal stakeholders, including </w:t>
            </w:r>
            <w:r w:rsidR="00807B54">
              <w:t>Engineering</w:t>
            </w:r>
            <w:r w:rsidR="00643181">
              <w:t xml:space="preserve">, </w:t>
            </w:r>
            <w:r w:rsidR="000C30DB">
              <w:t>Planning Policy</w:t>
            </w:r>
            <w:r w:rsidR="00643181">
              <w:t>, Sustainable Travel</w:t>
            </w:r>
            <w:r w:rsidR="000C30DB">
              <w:t xml:space="preserve"> Operations</w:t>
            </w:r>
            <w:r w:rsidR="00807B54">
              <w:t xml:space="preserve">, </w:t>
            </w:r>
            <w:r w:rsidRPr="00BA705E">
              <w:t xml:space="preserve">Research and Insight, and Digital teams, as well as external suppliers and agencies. The role is expected to contribute professional </w:t>
            </w:r>
            <w:r w:rsidR="00807B54">
              <w:t xml:space="preserve">technical </w:t>
            </w:r>
            <w:r w:rsidRPr="00BA705E">
              <w:t>advice, challenge briefs constructively where appropriate, and support collaborative ways of working.</w:t>
            </w:r>
          </w:p>
          <w:p w14:paraId="2A9793D0" w14:textId="77777777" w:rsidR="00275E88" w:rsidRDefault="00275E88" w:rsidP="00BA705E">
            <w:pPr>
              <w:spacing w:after="0" w:line="300" w:lineRule="atLeast"/>
            </w:pPr>
          </w:p>
          <w:p w14:paraId="46D26E7F" w14:textId="76E1C53D" w:rsidR="009B6541" w:rsidRPr="00BA705E" w:rsidRDefault="009B6541" w:rsidP="00B9669A">
            <w:pPr>
              <w:spacing w:after="0" w:line="300" w:lineRule="atLeast"/>
            </w:pPr>
          </w:p>
        </w:tc>
      </w:tr>
      <w:tr w:rsidR="002728D9" w:rsidRPr="002728D9" w14:paraId="20FF5F87" w14:textId="77777777" w:rsidTr="00F35016">
        <w:trPr>
          <w:trHeight w:val="555"/>
        </w:trPr>
        <w:tc>
          <w:tcPr>
            <w:tcW w:w="13467"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rPr>
              <w:lastRenderedPageBreak/>
              <w:t>Specific person specification associated with this position</w:t>
            </w:r>
            <w:r w:rsidRPr="00276646">
              <w:t> </w:t>
            </w:r>
          </w:p>
        </w:tc>
      </w:tr>
      <w:tr w:rsidR="002728D9" w:rsidRPr="002728D9" w14:paraId="1D7BBB1E" w14:textId="77777777" w:rsidTr="00F35016">
        <w:trPr>
          <w:trHeight w:val="555"/>
        </w:trPr>
        <w:tc>
          <w:tcPr>
            <w:tcW w:w="1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t> </w:t>
            </w:r>
          </w:p>
        </w:tc>
        <w:tc>
          <w:tcPr>
            <w:tcW w:w="13332" w:type="dxa"/>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561C6F32" w:rsidR="002728D9" w:rsidRPr="00276646" w:rsidRDefault="00547C28" w:rsidP="00547C28">
            <w:r w:rsidRPr="00276646">
              <w:rPr>
                <w:b/>
              </w:rPr>
              <w:t>Use this section to identify other requirements for this position.</w:t>
            </w:r>
            <w:r w:rsidRPr="00276646">
              <w:t> </w:t>
            </w:r>
          </w:p>
        </w:tc>
      </w:tr>
      <w:tr w:rsidR="002728D9" w:rsidRPr="002728D9" w14:paraId="5E6AAE2D" w14:textId="77777777" w:rsidTr="00F35016">
        <w:trPr>
          <w:trHeight w:val="1665"/>
        </w:trPr>
        <w:tc>
          <w:tcPr>
            <w:tcW w:w="1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6646" w:rsidRDefault="002728D9" w:rsidP="002728D9">
            <w:r w:rsidRPr="00276646">
              <w:lastRenderedPageBreak/>
              <w:t> </w:t>
            </w:r>
          </w:p>
        </w:tc>
        <w:tc>
          <w:tcPr>
            <w:tcW w:w="13332" w:type="dxa"/>
            <w:tcBorders>
              <w:top w:val="single" w:sz="6" w:space="0" w:color="auto"/>
              <w:left w:val="single" w:sz="6" w:space="0" w:color="auto"/>
              <w:bottom w:val="single" w:sz="6" w:space="0" w:color="auto"/>
              <w:right w:val="single" w:sz="6" w:space="0" w:color="000000" w:themeColor="text1"/>
            </w:tcBorders>
            <w:hideMark/>
          </w:tcPr>
          <w:p w14:paraId="7EC17321" w14:textId="154C2411" w:rsidR="002728D9" w:rsidRPr="00276646" w:rsidRDefault="0076715D" w:rsidP="001444C1">
            <w:pPr>
              <w:numPr>
                <w:ilvl w:val="0"/>
                <w:numId w:val="1"/>
              </w:numPr>
              <w:spacing w:after="0" w:line="300" w:lineRule="atLeast"/>
            </w:pPr>
            <w:r>
              <w:t>Standard DBS Check</w:t>
            </w:r>
          </w:p>
        </w:tc>
      </w:tr>
    </w:tbl>
    <w:p w14:paraId="38519124" w14:textId="77777777" w:rsidR="00CC3EAD" w:rsidRPr="006069C3" w:rsidRDefault="00CC3EAD" w:rsidP="002728D9">
      <w:pPr>
        <w:rPr>
          <w:b/>
          <w:bCs/>
        </w:rPr>
      </w:pPr>
    </w:p>
    <w:p w14:paraId="68318B63" w14:textId="15CE01A7" w:rsidR="00712442" w:rsidRPr="006069C3" w:rsidRDefault="00712442" w:rsidP="002728D9">
      <w:pPr>
        <w:rPr>
          <w:b/>
          <w:bCs/>
        </w:rPr>
      </w:pPr>
      <w:r w:rsidRPr="006069C3">
        <w:rPr>
          <w:b/>
          <w:bCs/>
        </w:rPr>
        <w:t xml:space="preserve">For P&amp;R </w:t>
      </w:r>
      <w:r w:rsidR="00547C28">
        <w:rPr>
          <w:b/>
          <w:bCs/>
        </w:rPr>
        <w:t>u</w:t>
      </w:r>
      <w:r w:rsidRPr="006069C3">
        <w:rPr>
          <w:b/>
          <w:bCs/>
        </w:rPr>
        <w:t>se</w:t>
      </w:r>
      <w:r w:rsidR="00547C28">
        <w:rPr>
          <w:b/>
          <w:bCs/>
        </w:rPr>
        <w:t xml:space="preserve"> o</w:t>
      </w:r>
      <w:r w:rsidRPr="006069C3">
        <w:rPr>
          <w:b/>
          <w:bCs/>
        </w:rPr>
        <w:t>nly:</w:t>
      </w:r>
    </w:p>
    <w:p w14:paraId="651D70AA" w14:textId="5F48F06D" w:rsidR="00712442" w:rsidRDefault="00712442" w:rsidP="002728D9">
      <w:r>
        <w:t xml:space="preserve">Role Profile Addendum </w:t>
      </w:r>
      <w:r w:rsidR="00547C28">
        <w:t>r</w:t>
      </w:r>
      <w:r>
        <w:t xml:space="preserve">eference </w:t>
      </w:r>
      <w:r w:rsidR="00547C28">
        <w:t>n</w:t>
      </w:r>
      <w:r>
        <w:t>umber:   ………………………………</w:t>
      </w:r>
    </w:p>
    <w:p w14:paraId="7AAC67ED" w14:textId="2CF24BF3" w:rsidR="006069C3" w:rsidRPr="002728D9" w:rsidRDefault="006069C3" w:rsidP="002728D9">
      <w:r>
        <w:t>Date</w:t>
      </w:r>
      <w:r w:rsidR="00D363A2">
        <w:t xml:space="preserve"> </w:t>
      </w:r>
      <w:r w:rsidR="00547C28">
        <w:t>s</w:t>
      </w:r>
      <w:r w:rsidR="00D363A2">
        <w:t xml:space="preserve">aved:   </w:t>
      </w:r>
      <w:r w:rsidR="00547C28">
        <w:t>………………………………………………………………….</w:t>
      </w:r>
    </w:p>
    <w:sectPr w:rsidR="006069C3" w:rsidRPr="002728D9" w:rsidSect="00F35016">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8C6F" w14:textId="77777777" w:rsidR="001C01DE" w:rsidRDefault="001C01DE" w:rsidP="006A3990">
      <w:pPr>
        <w:spacing w:after="0" w:line="240" w:lineRule="auto"/>
      </w:pPr>
      <w:r>
        <w:separator/>
      </w:r>
    </w:p>
  </w:endnote>
  <w:endnote w:type="continuationSeparator" w:id="0">
    <w:p w14:paraId="455EF9EB" w14:textId="77777777" w:rsidR="001C01DE" w:rsidRDefault="001C01DE"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C760" w14:textId="77777777" w:rsidR="001C01DE" w:rsidRDefault="001C01DE" w:rsidP="006A3990">
      <w:pPr>
        <w:spacing w:after="0" w:line="240" w:lineRule="auto"/>
      </w:pPr>
      <w:r>
        <w:separator/>
      </w:r>
    </w:p>
  </w:footnote>
  <w:footnote w:type="continuationSeparator" w:id="0">
    <w:p w14:paraId="34264C80" w14:textId="77777777" w:rsidR="001C01DE" w:rsidRDefault="001C01DE"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00D49"/>
    <w:multiLevelType w:val="hybridMultilevel"/>
    <w:tmpl w:val="E73A2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D32E98"/>
    <w:multiLevelType w:val="multilevel"/>
    <w:tmpl w:val="78A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5554037">
    <w:abstractNumId w:val="1"/>
  </w:num>
  <w:num w:numId="2" w16cid:durableId="7599875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00EBB"/>
    <w:rsid w:val="00010BCB"/>
    <w:rsid w:val="000231C5"/>
    <w:rsid w:val="000249DC"/>
    <w:rsid w:val="00030474"/>
    <w:rsid w:val="00044228"/>
    <w:rsid w:val="0004713B"/>
    <w:rsid w:val="00053B0E"/>
    <w:rsid w:val="00062236"/>
    <w:rsid w:val="0007123F"/>
    <w:rsid w:val="00071B18"/>
    <w:rsid w:val="00073DA8"/>
    <w:rsid w:val="00085522"/>
    <w:rsid w:val="000902E2"/>
    <w:rsid w:val="000A123A"/>
    <w:rsid w:val="000A3285"/>
    <w:rsid w:val="000B310D"/>
    <w:rsid w:val="000C30DB"/>
    <w:rsid w:val="000D5E7E"/>
    <w:rsid w:val="000E5856"/>
    <w:rsid w:val="00104263"/>
    <w:rsid w:val="00107357"/>
    <w:rsid w:val="001124B1"/>
    <w:rsid w:val="00115A0A"/>
    <w:rsid w:val="00116913"/>
    <w:rsid w:val="001179A7"/>
    <w:rsid w:val="00124522"/>
    <w:rsid w:val="00126F4A"/>
    <w:rsid w:val="001273B0"/>
    <w:rsid w:val="00133C80"/>
    <w:rsid w:val="00137A0F"/>
    <w:rsid w:val="001414F8"/>
    <w:rsid w:val="001444C1"/>
    <w:rsid w:val="00146EF2"/>
    <w:rsid w:val="001472E6"/>
    <w:rsid w:val="00152FAF"/>
    <w:rsid w:val="00173E77"/>
    <w:rsid w:val="00176C10"/>
    <w:rsid w:val="001841EC"/>
    <w:rsid w:val="0019658C"/>
    <w:rsid w:val="001A260A"/>
    <w:rsid w:val="001A2ED7"/>
    <w:rsid w:val="001B7315"/>
    <w:rsid w:val="001C0025"/>
    <w:rsid w:val="001C01DE"/>
    <w:rsid w:val="001D58CE"/>
    <w:rsid w:val="001E1146"/>
    <w:rsid w:val="001E1916"/>
    <w:rsid w:val="001E26F0"/>
    <w:rsid w:val="00211D3D"/>
    <w:rsid w:val="00212F29"/>
    <w:rsid w:val="00230D98"/>
    <w:rsid w:val="00231CC2"/>
    <w:rsid w:val="00235D18"/>
    <w:rsid w:val="00251732"/>
    <w:rsid w:val="002611D9"/>
    <w:rsid w:val="00270924"/>
    <w:rsid w:val="002728D9"/>
    <w:rsid w:val="00275E47"/>
    <w:rsid w:val="00275E88"/>
    <w:rsid w:val="00276646"/>
    <w:rsid w:val="00282FB0"/>
    <w:rsid w:val="002928D7"/>
    <w:rsid w:val="0029412C"/>
    <w:rsid w:val="002A1897"/>
    <w:rsid w:val="002A2BC6"/>
    <w:rsid w:val="002A4D60"/>
    <w:rsid w:val="002C246B"/>
    <w:rsid w:val="002D5205"/>
    <w:rsid w:val="002F4ECC"/>
    <w:rsid w:val="003067AC"/>
    <w:rsid w:val="00344165"/>
    <w:rsid w:val="00374133"/>
    <w:rsid w:val="00375EF0"/>
    <w:rsid w:val="00392B1F"/>
    <w:rsid w:val="003A33BA"/>
    <w:rsid w:val="003B00CB"/>
    <w:rsid w:val="003B2F15"/>
    <w:rsid w:val="003D6C0A"/>
    <w:rsid w:val="003E3556"/>
    <w:rsid w:val="003E7592"/>
    <w:rsid w:val="004003B5"/>
    <w:rsid w:val="00402C87"/>
    <w:rsid w:val="00407EA1"/>
    <w:rsid w:val="00413FC9"/>
    <w:rsid w:val="00416270"/>
    <w:rsid w:val="00444B76"/>
    <w:rsid w:val="00453E38"/>
    <w:rsid w:val="004616F4"/>
    <w:rsid w:val="00480E60"/>
    <w:rsid w:val="00482CD5"/>
    <w:rsid w:val="0048304D"/>
    <w:rsid w:val="00493062"/>
    <w:rsid w:val="00494206"/>
    <w:rsid w:val="004C35E6"/>
    <w:rsid w:val="004C3746"/>
    <w:rsid w:val="004C4E93"/>
    <w:rsid w:val="004D298B"/>
    <w:rsid w:val="004E5F59"/>
    <w:rsid w:val="004E6937"/>
    <w:rsid w:val="004F28C5"/>
    <w:rsid w:val="004F66D6"/>
    <w:rsid w:val="005040B2"/>
    <w:rsid w:val="005066CE"/>
    <w:rsid w:val="0051640D"/>
    <w:rsid w:val="00517F73"/>
    <w:rsid w:val="00525DD3"/>
    <w:rsid w:val="00532D53"/>
    <w:rsid w:val="00534C2B"/>
    <w:rsid w:val="00547C28"/>
    <w:rsid w:val="0058053E"/>
    <w:rsid w:val="005828A3"/>
    <w:rsid w:val="00584941"/>
    <w:rsid w:val="005C02C8"/>
    <w:rsid w:val="005C20D3"/>
    <w:rsid w:val="005C366C"/>
    <w:rsid w:val="005C51FB"/>
    <w:rsid w:val="005C7EB8"/>
    <w:rsid w:val="005F2B4E"/>
    <w:rsid w:val="005F61F1"/>
    <w:rsid w:val="006025D6"/>
    <w:rsid w:val="006069C3"/>
    <w:rsid w:val="006160FC"/>
    <w:rsid w:val="006235E7"/>
    <w:rsid w:val="006245F7"/>
    <w:rsid w:val="00630392"/>
    <w:rsid w:val="0064115F"/>
    <w:rsid w:val="00643181"/>
    <w:rsid w:val="00643DF3"/>
    <w:rsid w:val="0064633B"/>
    <w:rsid w:val="00651018"/>
    <w:rsid w:val="0065267A"/>
    <w:rsid w:val="00675170"/>
    <w:rsid w:val="00696133"/>
    <w:rsid w:val="00697EB4"/>
    <w:rsid w:val="006A3990"/>
    <w:rsid w:val="006A6716"/>
    <w:rsid w:val="006C60F3"/>
    <w:rsid w:val="006D3565"/>
    <w:rsid w:val="006E57EB"/>
    <w:rsid w:val="006F0A27"/>
    <w:rsid w:val="0071193D"/>
    <w:rsid w:val="00712442"/>
    <w:rsid w:val="007164D6"/>
    <w:rsid w:val="00734C94"/>
    <w:rsid w:val="00737A99"/>
    <w:rsid w:val="00742300"/>
    <w:rsid w:val="00742A83"/>
    <w:rsid w:val="00743CBF"/>
    <w:rsid w:val="00754288"/>
    <w:rsid w:val="00762ADF"/>
    <w:rsid w:val="0076715D"/>
    <w:rsid w:val="00771647"/>
    <w:rsid w:val="007A7952"/>
    <w:rsid w:val="007C0B69"/>
    <w:rsid w:val="007E21E1"/>
    <w:rsid w:val="00807846"/>
    <w:rsid w:val="00807B54"/>
    <w:rsid w:val="008123E6"/>
    <w:rsid w:val="00822952"/>
    <w:rsid w:val="00842CDB"/>
    <w:rsid w:val="0084307C"/>
    <w:rsid w:val="00844089"/>
    <w:rsid w:val="0086357C"/>
    <w:rsid w:val="00877064"/>
    <w:rsid w:val="00877E69"/>
    <w:rsid w:val="00880710"/>
    <w:rsid w:val="008808C0"/>
    <w:rsid w:val="00896D1A"/>
    <w:rsid w:val="00897B89"/>
    <w:rsid w:val="008B665E"/>
    <w:rsid w:val="008B6BCC"/>
    <w:rsid w:val="008B7B64"/>
    <w:rsid w:val="008C64DC"/>
    <w:rsid w:val="008F6E57"/>
    <w:rsid w:val="00901BA0"/>
    <w:rsid w:val="00950AEB"/>
    <w:rsid w:val="00960D4C"/>
    <w:rsid w:val="009637E1"/>
    <w:rsid w:val="00976694"/>
    <w:rsid w:val="00981DDD"/>
    <w:rsid w:val="009824EB"/>
    <w:rsid w:val="009959C9"/>
    <w:rsid w:val="009A3707"/>
    <w:rsid w:val="009B15BB"/>
    <w:rsid w:val="009B2DA8"/>
    <w:rsid w:val="009B6541"/>
    <w:rsid w:val="009C63BE"/>
    <w:rsid w:val="009D0707"/>
    <w:rsid w:val="009D090C"/>
    <w:rsid w:val="009D6244"/>
    <w:rsid w:val="00A00266"/>
    <w:rsid w:val="00A44900"/>
    <w:rsid w:val="00A65B13"/>
    <w:rsid w:val="00A73B9F"/>
    <w:rsid w:val="00A766AE"/>
    <w:rsid w:val="00A955B3"/>
    <w:rsid w:val="00AB0A0C"/>
    <w:rsid w:val="00AB3944"/>
    <w:rsid w:val="00AC34DE"/>
    <w:rsid w:val="00AE3D9B"/>
    <w:rsid w:val="00B261AC"/>
    <w:rsid w:val="00B30A86"/>
    <w:rsid w:val="00B359ED"/>
    <w:rsid w:val="00B41726"/>
    <w:rsid w:val="00B44630"/>
    <w:rsid w:val="00B463FA"/>
    <w:rsid w:val="00B47B96"/>
    <w:rsid w:val="00B5379C"/>
    <w:rsid w:val="00B77569"/>
    <w:rsid w:val="00B801AA"/>
    <w:rsid w:val="00B9669A"/>
    <w:rsid w:val="00BA3458"/>
    <w:rsid w:val="00BA705E"/>
    <w:rsid w:val="00BA7E5B"/>
    <w:rsid w:val="00BB0440"/>
    <w:rsid w:val="00BB7D72"/>
    <w:rsid w:val="00BC18C0"/>
    <w:rsid w:val="00BC2AC8"/>
    <w:rsid w:val="00BD5F3C"/>
    <w:rsid w:val="00BF0FD4"/>
    <w:rsid w:val="00C03C45"/>
    <w:rsid w:val="00C05891"/>
    <w:rsid w:val="00C10A09"/>
    <w:rsid w:val="00C14557"/>
    <w:rsid w:val="00C159AF"/>
    <w:rsid w:val="00C23206"/>
    <w:rsid w:val="00C306D9"/>
    <w:rsid w:val="00C3332B"/>
    <w:rsid w:val="00C45B3A"/>
    <w:rsid w:val="00C51D53"/>
    <w:rsid w:val="00C54CDB"/>
    <w:rsid w:val="00C630F0"/>
    <w:rsid w:val="00C9335C"/>
    <w:rsid w:val="00C9763D"/>
    <w:rsid w:val="00CC3EAD"/>
    <w:rsid w:val="00CE5BF8"/>
    <w:rsid w:val="00CE7702"/>
    <w:rsid w:val="00CF6185"/>
    <w:rsid w:val="00D34342"/>
    <w:rsid w:val="00D363A2"/>
    <w:rsid w:val="00D53102"/>
    <w:rsid w:val="00D66816"/>
    <w:rsid w:val="00D77136"/>
    <w:rsid w:val="00D82415"/>
    <w:rsid w:val="00D93602"/>
    <w:rsid w:val="00DA28A3"/>
    <w:rsid w:val="00DB3EBB"/>
    <w:rsid w:val="00DC4685"/>
    <w:rsid w:val="00DE6536"/>
    <w:rsid w:val="00DF1DF9"/>
    <w:rsid w:val="00DF2342"/>
    <w:rsid w:val="00DF26FF"/>
    <w:rsid w:val="00DF7F96"/>
    <w:rsid w:val="00E034B0"/>
    <w:rsid w:val="00E041FD"/>
    <w:rsid w:val="00E047E1"/>
    <w:rsid w:val="00E27E3F"/>
    <w:rsid w:val="00E506A3"/>
    <w:rsid w:val="00E51634"/>
    <w:rsid w:val="00E51B50"/>
    <w:rsid w:val="00E54D52"/>
    <w:rsid w:val="00E70C43"/>
    <w:rsid w:val="00E76397"/>
    <w:rsid w:val="00E82CB1"/>
    <w:rsid w:val="00E85C3D"/>
    <w:rsid w:val="00E85D2D"/>
    <w:rsid w:val="00E92C47"/>
    <w:rsid w:val="00EB0513"/>
    <w:rsid w:val="00EB104D"/>
    <w:rsid w:val="00EC40AF"/>
    <w:rsid w:val="00EC51B4"/>
    <w:rsid w:val="00EC79A7"/>
    <w:rsid w:val="00EE5F25"/>
    <w:rsid w:val="00F07698"/>
    <w:rsid w:val="00F14D78"/>
    <w:rsid w:val="00F32130"/>
    <w:rsid w:val="00F35016"/>
    <w:rsid w:val="00F35E39"/>
    <w:rsid w:val="00F3680D"/>
    <w:rsid w:val="00F4203D"/>
    <w:rsid w:val="00FA0C2C"/>
    <w:rsid w:val="00FC18DA"/>
    <w:rsid w:val="00FD17CD"/>
    <w:rsid w:val="00FD7EB5"/>
    <w:rsid w:val="00FE5B9C"/>
    <w:rsid w:val="00FE5C05"/>
    <w:rsid w:val="00FF6FDC"/>
    <w:rsid w:val="0277ACC9"/>
    <w:rsid w:val="035D4B22"/>
    <w:rsid w:val="04F590EE"/>
    <w:rsid w:val="072F8B6E"/>
    <w:rsid w:val="07ABB846"/>
    <w:rsid w:val="08487CD2"/>
    <w:rsid w:val="0C5E80F5"/>
    <w:rsid w:val="0E3B1B8F"/>
    <w:rsid w:val="12F29304"/>
    <w:rsid w:val="174D9B4C"/>
    <w:rsid w:val="18E6B8DC"/>
    <w:rsid w:val="1C9F3E11"/>
    <w:rsid w:val="1E0B9302"/>
    <w:rsid w:val="27368B52"/>
    <w:rsid w:val="291E3591"/>
    <w:rsid w:val="2A107E11"/>
    <w:rsid w:val="2BB587B7"/>
    <w:rsid w:val="305E93BC"/>
    <w:rsid w:val="3225B36D"/>
    <w:rsid w:val="3801A650"/>
    <w:rsid w:val="3826FA85"/>
    <w:rsid w:val="382A3B3A"/>
    <w:rsid w:val="3C91AA79"/>
    <w:rsid w:val="3FB63128"/>
    <w:rsid w:val="41325EDF"/>
    <w:rsid w:val="42342FC6"/>
    <w:rsid w:val="42EF012E"/>
    <w:rsid w:val="439C1D80"/>
    <w:rsid w:val="47D8EE6F"/>
    <w:rsid w:val="491B710D"/>
    <w:rsid w:val="4D17168B"/>
    <w:rsid w:val="4E03920D"/>
    <w:rsid w:val="51EA5821"/>
    <w:rsid w:val="5486E0CA"/>
    <w:rsid w:val="5CCACB04"/>
    <w:rsid w:val="5F5F05E0"/>
    <w:rsid w:val="5FF90349"/>
    <w:rsid w:val="65A69F80"/>
    <w:rsid w:val="6766EEF9"/>
    <w:rsid w:val="6774CDEC"/>
    <w:rsid w:val="69F3FD12"/>
    <w:rsid w:val="71F1DBAE"/>
    <w:rsid w:val="78897294"/>
    <w:rsid w:val="7E7FB03B"/>
    <w:rsid w:val="7EB24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619EFB62-16A3-4325-B83B-AE58937A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8"/>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paragraph" w:customStyle="1" w:styleId="paragraph">
    <w:name w:val="paragraph"/>
    <w:basedOn w:val="Normal"/>
    <w:rsid w:val="00F350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35016"/>
  </w:style>
  <w:style w:type="character" w:customStyle="1" w:styleId="eop">
    <w:name w:val="eop"/>
    <w:basedOn w:val="DefaultParagraphFont"/>
    <w:rsid w:val="00F3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dfcd99d81f16ec78cee55e1e77985ac9">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1b0d0665cd24df6e147195d5c1c62529"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Props1.xml><?xml version="1.0" encoding="utf-8"?>
<ds:datastoreItem xmlns:ds="http://schemas.openxmlformats.org/officeDocument/2006/customXml" ds:itemID="{834420CC-4ECB-4520-9399-D42111B7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EB7802EE-2CCB-40B7-A990-46D1AD81C1BE}">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f6daf0d-3472-4400-9bd3-37ec902c3b44"/>
    <ds:schemaRef ds:uri="9c7871c0-ee3a-4167-9f64-aed05450f001"/>
    <ds:schemaRef ds:uri="http://schemas.microsoft.com/office/2006/metadata/properties"/>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Amy Beasley</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