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rPr>
        <w:t>Role Profile Addendum</w:t>
      </w:r>
      <w:r w:rsidR="008F6E57" w:rsidRPr="00276646">
        <w:t xml:space="preserve"> </w:t>
      </w:r>
    </w:p>
    <w:p w14:paraId="77429D9B" w14:textId="77777777" w:rsidR="002728D9" w:rsidRPr="00276646" w:rsidRDefault="002728D9" w:rsidP="002728D9">
      <w:r w:rsidRPr="00276646">
        <w:rPr>
          <w:b/>
        </w:rPr>
        <w:t>(to be completed for generic role profiles, mapped to multiple positions)</w:t>
      </w:r>
      <w:r w:rsidRPr="00276646">
        <w:t>   </w:t>
      </w:r>
    </w:p>
    <w:p w14:paraId="4CF360B6" w14:textId="42D11AB4" w:rsidR="002728D9" w:rsidRPr="00276646" w:rsidRDefault="002728D9" w:rsidP="002728D9">
      <w:r w:rsidRPr="00276646">
        <w:t>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38312B5F">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3A1399E7" w:rsidR="0004713B" w:rsidRPr="00276646" w:rsidRDefault="002728D9" w:rsidP="0004713B">
            <w:pPr>
              <w:spacing w:after="0" w:line="240" w:lineRule="auto"/>
              <w:rPr>
                <w:rFonts w:eastAsia="Times New Roman"/>
                <w:b/>
                <w:color w:val="FFFFFF"/>
                <w:kern w:val="0"/>
                <w:lang w:eastAsia="en-GB"/>
                <w14:ligatures w14:val="none"/>
              </w:rPr>
            </w:pPr>
            <w:r w:rsidRPr="00276646">
              <w:t> </w:t>
            </w:r>
            <w:r w:rsidR="0004713B" w:rsidRPr="00276646">
              <w:rPr>
                <w:rFonts w:eastAsia="Times New Roman"/>
                <w:b/>
                <w:color w:val="FFFFFF"/>
                <w:kern w:val="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tcPr>
          <w:p w14:paraId="75991BBD" w14:textId="29DA28FC" w:rsidR="0004713B" w:rsidRPr="00276646" w:rsidRDefault="00617079" w:rsidP="00FE5B9C">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Community Safety </w:t>
            </w:r>
            <w:r w:rsidR="587616F3">
              <w:rPr>
                <w:rFonts w:eastAsia="Times New Roman"/>
                <w:color w:val="000000"/>
                <w:kern w:val="0"/>
                <w:lang w:eastAsia="en-GB"/>
                <w14:ligatures w14:val="none"/>
              </w:rPr>
              <w:t>O</w:t>
            </w:r>
            <w:r>
              <w:rPr>
                <w:rFonts w:eastAsia="Times New Roman"/>
                <w:color w:val="000000"/>
                <w:kern w:val="0"/>
                <w:lang w:eastAsia="en-GB"/>
                <w14:ligatures w14:val="none"/>
              </w:rPr>
              <w:t xml:space="preserve">fficer – Prevent and </w:t>
            </w:r>
            <w:r w:rsidR="00A11FFF">
              <w:rPr>
                <w:rFonts w:eastAsia="Times New Roman"/>
                <w:color w:val="000000"/>
                <w:kern w:val="0"/>
                <w:lang w:eastAsia="en-GB"/>
                <w14:ligatures w14:val="none"/>
              </w:rPr>
              <w:t>P</w:t>
            </w:r>
            <w:r>
              <w:rPr>
                <w:rFonts w:eastAsia="Times New Roman"/>
                <w:color w:val="000000"/>
                <w:kern w:val="0"/>
                <w:lang w:eastAsia="en-GB"/>
                <w14:ligatures w14:val="none"/>
              </w:rPr>
              <w:t>rotect</w:t>
            </w:r>
          </w:p>
        </w:tc>
      </w:tr>
      <w:tr w:rsidR="0004713B" w:rsidRPr="0004713B" w14:paraId="57ABDC96" w14:textId="77777777" w:rsidTr="38312B5F">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53034CFF" w:rsidR="0004713B" w:rsidRPr="00276646" w:rsidRDefault="0004713B" w:rsidP="71F1DBAE">
            <w:pPr>
              <w:spacing w:after="0" w:line="240" w:lineRule="auto"/>
              <w:rPr>
                <w:rFonts w:eastAsia="Times New Roman"/>
                <w:b/>
                <w:bCs/>
                <w:color w:val="FFFFFF"/>
                <w:kern w:val="0"/>
                <w:lang w:eastAsia="en-GB"/>
                <w14:ligatures w14:val="none"/>
              </w:rPr>
            </w:pPr>
            <w:r w:rsidRPr="71F1DBAE">
              <w:rPr>
                <w:rFonts w:eastAsia="Times New Roman"/>
                <w:b/>
                <w:bCs/>
                <w:color w:val="FFFFFF"/>
                <w:kern w:val="0"/>
                <w:lang w:eastAsia="en-GB"/>
                <w14:ligatures w14:val="none"/>
              </w:rPr>
              <w:t>Role Profile Ref:</w:t>
            </w:r>
          </w:p>
        </w:tc>
        <w:tc>
          <w:tcPr>
            <w:tcW w:w="6304" w:type="dxa"/>
            <w:tcBorders>
              <w:top w:val="single" w:sz="7" w:space="0" w:color="auto"/>
              <w:left w:val="nil"/>
              <w:bottom w:val="single" w:sz="3" w:space="0" w:color="auto"/>
              <w:right w:val="single" w:sz="7" w:space="0" w:color="auto"/>
            </w:tcBorders>
            <w:vAlign w:val="center"/>
          </w:tcPr>
          <w:p w14:paraId="44C1BE3C" w14:textId="7886524D" w:rsidR="0004713B" w:rsidRPr="00276646" w:rsidRDefault="00973CA8" w:rsidP="035D4B22">
            <w:pPr>
              <w:spacing w:after="0" w:line="240" w:lineRule="auto"/>
              <w:rPr>
                <w:rFonts w:eastAsia="Arial"/>
                <w:kern w:val="0"/>
                <w14:ligatures w14:val="none"/>
              </w:rPr>
            </w:pPr>
            <w:r>
              <w:rPr>
                <w:rFonts w:eastAsia="Arial"/>
                <w:kern w:val="0"/>
                <w14:ligatures w14:val="none"/>
              </w:rPr>
              <w:t>MUL099</w:t>
            </w:r>
          </w:p>
        </w:tc>
      </w:tr>
      <w:tr w:rsidR="00104263" w:rsidRPr="0004713B" w14:paraId="74DC8504" w14:textId="77777777" w:rsidTr="38312B5F">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40ADB68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Title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tcPr>
          <w:p w14:paraId="122A1E63" w14:textId="4A6DA1D7" w:rsidR="00104263" w:rsidRPr="00276646" w:rsidRDefault="00973CA8" w:rsidP="00FE5B9C">
            <w:pPr>
              <w:spacing w:after="0"/>
              <w:rPr>
                <w:rFonts w:eastAsia="Times New Roman"/>
                <w:color w:val="000000"/>
                <w:kern w:val="0"/>
                <w:lang w:eastAsia="en-GB"/>
                <w14:ligatures w14:val="none"/>
              </w:rPr>
            </w:pPr>
            <w:r>
              <w:rPr>
                <w:rFonts w:eastAsia="Times New Roman"/>
                <w:color w:val="000000"/>
                <w:kern w:val="0"/>
                <w:lang w:eastAsia="en-GB"/>
                <w14:ligatures w14:val="none"/>
              </w:rPr>
              <w:t>Project Officer</w:t>
            </w:r>
          </w:p>
        </w:tc>
      </w:tr>
      <w:tr w:rsidR="00104263" w:rsidRPr="0004713B" w14:paraId="318EAAF2" w14:textId="77777777" w:rsidTr="38312B5F">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633FC4A9"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Directorate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hideMark/>
          </w:tcPr>
          <w:p w14:paraId="3EB49A42" w14:textId="572CED2D" w:rsidR="00104263" w:rsidRPr="00276646" w:rsidRDefault="00973CA8"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Public Health and Communities</w:t>
            </w:r>
          </w:p>
        </w:tc>
      </w:tr>
      <w:tr w:rsidR="00104263" w:rsidRPr="0004713B" w14:paraId="4A584057" w14:textId="77777777" w:rsidTr="38312B5F">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2068780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Service area</w:t>
            </w:r>
            <w:r w:rsidR="00BD5F3C">
              <w:rPr>
                <w:rFonts w:eastAsia="Times New Roman"/>
                <w:b/>
                <w:color w:val="FFFFFF"/>
                <w:kern w:val="0"/>
                <w:lang w:eastAsia="en-GB"/>
                <w14:ligatures w14:val="none"/>
              </w:rPr>
              <w:t>:</w:t>
            </w:r>
          </w:p>
        </w:tc>
        <w:tc>
          <w:tcPr>
            <w:tcW w:w="6304" w:type="dxa"/>
            <w:tcBorders>
              <w:top w:val="nil"/>
              <w:left w:val="nil"/>
              <w:bottom w:val="single" w:sz="7" w:space="0" w:color="auto"/>
              <w:right w:val="single" w:sz="7" w:space="0" w:color="auto"/>
            </w:tcBorders>
            <w:vAlign w:val="center"/>
            <w:hideMark/>
          </w:tcPr>
          <w:p w14:paraId="26349581" w14:textId="52E9DFD1" w:rsidR="00104263" w:rsidRPr="00276646" w:rsidRDefault="00973CA8" w:rsidP="00DF2342">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Community Safety </w:t>
            </w:r>
          </w:p>
        </w:tc>
      </w:tr>
    </w:tbl>
    <w:p w14:paraId="2FD20B46" w14:textId="01EA3D22" w:rsidR="002728D9" w:rsidRPr="00276646" w:rsidRDefault="002728D9" w:rsidP="002728D9"/>
    <w:tbl>
      <w:tblPr>
        <w:tblW w:w="1346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
        <w:gridCol w:w="13332"/>
      </w:tblGrid>
      <w:tr w:rsidR="002728D9" w:rsidRPr="002728D9" w14:paraId="3801DABA" w14:textId="77777777" w:rsidTr="5B98B13D">
        <w:trPr>
          <w:trHeight w:val="555"/>
        </w:trPr>
        <w:tc>
          <w:tcPr>
            <w:tcW w:w="13467"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rPr>
              <w:t>Specific responsibilities associated with this position</w:t>
            </w:r>
            <w:r w:rsidRPr="00276646">
              <w:t> </w:t>
            </w:r>
          </w:p>
        </w:tc>
      </w:tr>
      <w:tr w:rsidR="002728D9" w:rsidRPr="002728D9" w14:paraId="11E5DDE6" w14:textId="77777777" w:rsidTr="5B98B13D">
        <w:trPr>
          <w:trHeight w:val="1950"/>
        </w:trPr>
        <w:tc>
          <w:tcPr>
            <w:tcW w:w="13467" w:type="dxa"/>
            <w:gridSpan w:val="2"/>
            <w:tcBorders>
              <w:top w:val="nil"/>
              <w:left w:val="single" w:sz="6" w:space="0" w:color="auto"/>
              <w:bottom w:val="nil"/>
              <w:right w:val="single" w:sz="6" w:space="0" w:color="auto"/>
            </w:tcBorders>
          </w:tcPr>
          <w:p w14:paraId="7D2AAD0C" w14:textId="2CE20EBA" w:rsidR="00BA705E" w:rsidRPr="00BA705E" w:rsidRDefault="00BA705E" w:rsidP="00354600">
            <w:pPr>
              <w:pStyle w:val="ListParagraph"/>
              <w:spacing w:after="0" w:line="300" w:lineRule="atLeast"/>
            </w:pPr>
          </w:p>
          <w:p w14:paraId="693D9F0A" w14:textId="63C0016D" w:rsidR="00BA705E" w:rsidRPr="00BA705E" w:rsidRDefault="00BA705E" w:rsidP="00354600">
            <w:pPr>
              <w:pStyle w:val="ListParagraph"/>
              <w:spacing w:after="0" w:line="300" w:lineRule="atLeast"/>
            </w:pPr>
            <w:r w:rsidRPr="00BA705E">
              <w:t xml:space="preserve">This addendum describes the specific operational context and additional responsibilities associated with the </w:t>
            </w:r>
            <w:r w:rsidR="008311B2">
              <w:t>Community Safety Officer with a Prevent and Protect focus, within the Community safety team.</w:t>
            </w:r>
            <w:r w:rsidRPr="00BA705E">
              <w:t xml:space="preserve"> The core purpose, grade and evaluated factors of the MUL</w:t>
            </w:r>
            <w:r w:rsidR="000758EF">
              <w:t>099</w:t>
            </w:r>
            <w:r w:rsidRPr="00BA705E">
              <w:t xml:space="preserve"> role profile remain unchanged. The addendum clarifies how the role is applied in this service area to support </w:t>
            </w:r>
            <w:r w:rsidR="000758EF">
              <w:t xml:space="preserve">the Prevent and Protect agenda. </w:t>
            </w:r>
          </w:p>
          <w:p w14:paraId="18813D33" w14:textId="77777777" w:rsidR="00BA705E" w:rsidRDefault="00BA705E" w:rsidP="00BA705E">
            <w:pPr>
              <w:spacing w:after="0" w:line="300" w:lineRule="atLeast"/>
            </w:pPr>
          </w:p>
          <w:p w14:paraId="338675F5" w14:textId="3FBEE5D8" w:rsidR="00903999" w:rsidRPr="00354600" w:rsidRDefault="00BA705E" w:rsidP="00354600">
            <w:pPr>
              <w:pStyle w:val="ListParagraph"/>
              <w:numPr>
                <w:ilvl w:val="0"/>
                <w:numId w:val="3"/>
              </w:numPr>
              <w:autoSpaceDE w:val="0"/>
              <w:autoSpaceDN w:val="0"/>
              <w:adjustRightInd w:val="0"/>
              <w:spacing w:after="0" w:line="240" w:lineRule="auto"/>
            </w:pPr>
            <w:r w:rsidRPr="0092250C">
              <w:t xml:space="preserve">Within </w:t>
            </w:r>
            <w:r w:rsidR="0039070E" w:rsidRPr="0092250C">
              <w:t>the Community Safety Team</w:t>
            </w:r>
            <w:r w:rsidRPr="0092250C">
              <w:t xml:space="preserve">, the role operates in an environment with a </w:t>
            </w:r>
            <w:r w:rsidR="0039070E" w:rsidRPr="0092250C">
              <w:t xml:space="preserve">particular </w:t>
            </w:r>
            <w:r w:rsidR="000615A3" w:rsidRPr="0092250C">
              <w:t>focus on Prevent and Protect</w:t>
            </w:r>
            <w:r w:rsidR="1FA84C96" w:rsidRPr="0092250C">
              <w:t xml:space="preserve"> under the National CONTEST strategy</w:t>
            </w:r>
            <w:r w:rsidR="00986E81" w:rsidRPr="0092250C">
              <w:t xml:space="preserve"> and will work closely </w:t>
            </w:r>
            <w:r w:rsidR="00E00357" w:rsidRPr="0092250C">
              <w:t>with local authorities</w:t>
            </w:r>
            <w:r w:rsidR="00205A61" w:rsidRPr="0092250C">
              <w:t xml:space="preserve"> in the South West region,</w:t>
            </w:r>
            <w:r w:rsidR="00E00357" w:rsidRPr="0092250C">
              <w:t xml:space="preserve"> and other stakeholders in the BCP local council area to support them i</w:t>
            </w:r>
            <w:r w:rsidR="00E70C35" w:rsidRPr="0092250C">
              <w:t>n</w:t>
            </w:r>
            <w:r w:rsidR="00E00357" w:rsidRPr="0092250C">
              <w:t xml:space="preserve"> understanding</w:t>
            </w:r>
            <w:r w:rsidR="00DA1105" w:rsidRPr="00354600">
              <w:rPr>
                <w:kern w:val="0"/>
              </w:rPr>
              <w:t xml:space="preserve"> and meeting their duties in respect of Prevent</w:t>
            </w:r>
            <w:r w:rsidR="00205A61" w:rsidRPr="00354600">
              <w:rPr>
                <w:kern w:val="0"/>
              </w:rPr>
              <w:t xml:space="preserve"> and </w:t>
            </w:r>
            <w:r w:rsidR="00903999" w:rsidRPr="00354600">
              <w:rPr>
                <w:kern w:val="0"/>
              </w:rPr>
              <w:t>P</w:t>
            </w:r>
            <w:r w:rsidR="00205A61" w:rsidRPr="00354600">
              <w:rPr>
                <w:kern w:val="0"/>
              </w:rPr>
              <w:t>ro</w:t>
            </w:r>
            <w:r w:rsidR="00ED38FE" w:rsidRPr="00354600">
              <w:rPr>
                <w:kern w:val="0"/>
              </w:rPr>
              <w:t>t</w:t>
            </w:r>
            <w:r w:rsidR="00205A61" w:rsidRPr="00354600">
              <w:rPr>
                <w:kern w:val="0"/>
              </w:rPr>
              <w:t xml:space="preserve">ect. </w:t>
            </w:r>
          </w:p>
          <w:p w14:paraId="5856C19C" w14:textId="77777777" w:rsidR="00903999" w:rsidRDefault="00903999" w:rsidP="00DA1105">
            <w:pPr>
              <w:autoSpaceDE w:val="0"/>
              <w:autoSpaceDN w:val="0"/>
              <w:adjustRightInd w:val="0"/>
              <w:spacing w:after="0" w:line="240" w:lineRule="auto"/>
              <w:rPr>
                <w:kern w:val="0"/>
              </w:rPr>
            </w:pPr>
          </w:p>
          <w:p w14:paraId="3A5468F0" w14:textId="76F1719B" w:rsidR="00DA1105" w:rsidRPr="00354600" w:rsidRDefault="00DA1105" w:rsidP="00354600">
            <w:pPr>
              <w:pStyle w:val="ListParagraph"/>
              <w:numPr>
                <w:ilvl w:val="0"/>
                <w:numId w:val="3"/>
              </w:numPr>
              <w:autoSpaceDE w:val="0"/>
              <w:autoSpaceDN w:val="0"/>
              <w:adjustRightInd w:val="0"/>
              <w:spacing w:after="0" w:line="240" w:lineRule="auto"/>
              <w:rPr>
                <w:kern w:val="0"/>
              </w:rPr>
            </w:pPr>
            <w:r w:rsidRPr="00354600">
              <w:rPr>
                <w:kern w:val="0"/>
              </w:rPr>
              <w:lastRenderedPageBreak/>
              <w:t>They will enable and improve responses to safeguarding risks and deliver</w:t>
            </w:r>
            <w:r w:rsidR="00ED38FE" w:rsidRPr="00354600">
              <w:rPr>
                <w:kern w:val="0"/>
              </w:rPr>
              <w:t xml:space="preserve"> </w:t>
            </w:r>
            <w:r w:rsidRPr="00354600">
              <w:rPr>
                <w:kern w:val="0"/>
              </w:rPr>
              <w:t>effective training that will increase resilience to extremist narrative and will generate</w:t>
            </w:r>
            <w:r w:rsidR="00AE361D" w:rsidRPr="00354600">
              <w:rPr>
                <w:kern w:val="0"/>
              </w:rPr>
              <w:t xml:space="preserve"> </w:t>
            </w:r>
            <w:r w:rsidRPr="00354600">
              <w:rPr>
                <w:kern w:val="0"/>
              </w:rPr>
              <w:t>environments that will encourage positive and constructive debates where diversity is</w:t>
            </w:r>
            <w:r w:rsidR="00354600" w:rsidRPr="00354600">
              <w:rPr>
                <w:kern w:val="0"/>
              </w:rPr>
              <w:t xml:space="preserve"> </w:t>
            </w:r>
            <w:r w:rsidRPr="00354600">
              <w:rPr>
                <w:kern w:val="0"/>
              </w:rPr>
              <w:t>positively valued.</w:t>
            </w:r>
          </w:p>
          <w:p w14:paraId="35E352E9" w14:textId="77777777" w:rsidR="00F10483" w:rsidRPr="0092250C" w:rsidRDefault="00F10483" w:rsidP="00DA1105">
            <w:pPr>
              <w:autoSpaceDE w:val="0"/>
              <w:autoSpaceDN w:val="0"/>
              <w:adjustRightInd w:val="0"/>
              <w:spacing w:after="0" w:line="240" w:lineRule="auto"/>
              <w:rPr>
                <w:kern w:val="0"/>
              </w:rPr>
            </w:pPr>
          </w:p>
          <w:p w14:paraId="6833FEA4" w14:textId="31877A19" w:rsidR="00AE361D" w:rsidRPr="00354600" w:rsidRDefault="00F10483" w:rsidP="00354600">
            <w:pPr>
              <w:pStyle w:val="ListParagraph"/>
              <w:numPr>
                <w:ilvl w:val="0"/>
                <w:numId w:val="3"/>
              </w:numPr>
              <w:autoSpaceDE w:val="0"/>
              <w:autoSpaceDN w:val="0"/>
              <w:adjustRightInd w:val="0"/>
              <w:spacing w:after="0" w:line="240" w:lineRule="auto"/>
            </w:pPr>
            <w:r w:rsidRPr="00354600">
              <w:rPr>
                <w:kern w:val="0"/>
              </w:rPr>
              <w:t>They will be r</w:t>
            </w:r>
            <w:r w:rsidR="00DA1105" w:rsidRPr="00354600">
              <w:rPr>
                <w:kern w:val="0"/>
              </w:rPr>
              <w:t>esponsible for leading on engagement with various stakeholders whilst maintaining an</w:t>
            </w:r>
            <w:r w:rsidR="00AE361D" w:rsidRPr="00354600">
              <w:rPr>
                <w:kern w:val="0"/>
              </w:rPr>
              <w:t xml:space="preserve"> </w:t>
            </w:r>
            <w:r w:rsidR="00DA1105" w:rsidRPr="00354600">
              <w:rPr>
                <w:kern w:val="0"/>
              </w:rPr>
              <w:t>overall Prevent network of contacts</w:t>
            </w:r>
            <w:r w:rsidR="0047143E" w:rsidRPr="00354600">
              <w:rPr>
                <w:kern w:val="0"/>
              </w:rPr>
              <w:t xml:space="preserve"> and will administer the pan-Dorset Prevent Partnership Board. </w:t>
            </w:r>
            <w:r w:rsidR="00DA1105" w:rsidRPr="00354600">
              <w:rPr>
                <w:kern w:val="0"/>
              </w:rPr>
              <w:t xml:space="preserve"> </w:t>
            </w:r>
          </w:p>
          <w:p w14:paraId="3CA61140" w14:textId="77777777" w:rsidR="00AE361D" w:rsidRDefault="00AE361D" w:rsidP="00DA1105">
            <w:pPr>
              <w:autoSpaceDE w:val="0"/>
              <w:autoSpaceDN w:val="0"/>
              <w:adjustRightInd w:val="0"/>
              <w:spacing w:after="0" w:line="240" w:lineRule="auto"/>
              <w:rPr>
                <w:kern w:val="0"/>
              </w:rPr>
            </w:pPr>
          </w:p>
          <w:p w14:paraId="34DFDBF9" w14:textId="3CCF76F3" w:rsidR="00C95C83" w:rsidRPr="00A81FEC" w:rsidRDefault="00AE361D" w:rsidP="00354600">
            <w:pPr>
              <w:pStyle w:val="ListParagraph"/>
              <w:numPr>
                <w:ilvl w:val="0"/>
                <w:numId w:val="3"/>
              </w:numPr>
              <w:spacing w:after="0" w:line="300" w:lineRule="atLeast"/>
            </w:pPr>
            <w:r w:rsidRPr="00A81FEC">
              <w:rPr>
                <w:kern w:val="0"/>
              </w:rPr>
              <w:t xml:space="preserve">This post holder should hold a </w:t>
            </w:r>
            <w:r w:rsidR="004E62EA" w:rsidRPr="00A81FEC">
              <w:rPr>
                <w:kern w:val="0"/>
              </w:rPr>
              <w:t>g</w:t>
            </w:r>
            <w:r w:rsidRPr="00A81FEC">
              <w:rPr>
                <w:kern w:val="0"/>
              </w:rPr>
              <w:t xml:space="preserve">ood level of awareness of the </w:t>
            </w:r>
            <w:r w:rsidR="00C95C83" w:rsidRPr="00A81FEC">
              <w:rPr>
                <w:kern w:val="0"/>
              </w:rPr>
              <w:t>G</w:t>
            </w:r>
            <w:r w:rsidRPr="00A81FEC">
              <w:rPr>
                <w:kern w:val="0"/>
              </w:rPr>
              <w:t>overnment</w:t>
            </w:r>
            <w:r w:rsidR="00C95C83" w:rsidRPr="00A81FEC">
              <w:rPr>
                <w:kern w:val="0"/>
              </w:rPr>
              <w:t>’</w:t>
            </w:r>
            <w:r w:rsidRPr="00A81FEC">
              <w:rPr>
                <w:kern w:val="0"/>
              </w:rPr>
              <w:t>s</w:t>
            </w:r>
            <w:r w:rsidR="00C95C83" w:rsidRPr="00A81FEC">
              <w:rPr>
                <w:kern w:val="0"/>
              </w:rPr>
              <w:t xml:space="preserve"> </w:t>
            </w:r>
            <w:r w:rsidR="00C95C83" w:rsidRPr="00A81FEC">
              <w:t>CONTEST strategy, to include the Prevent Strategy, Community Cohesion issues and relevant legislation.</w:t>
            </w:r>
          </w:p>
          <w:p w14:paraId="6CDB15DF" w14:textId="0B06B0C2" w:rsidR="00DA1105" w:rsidRPr="0092250C" w:rsidRDefault="00DA1105" w:rsidP="00DA1105">
            <w:pPr>
              <w:autoSpaceDE w:val="0"/>
              <w:autoSpaceDN w:val="0"/>
              <w:adjustRightInd w:val="0"/>
              <w:spacing w:after="0" w:line="240" w:lineRule="auto"/>
              <w:rPr>
                <w:kern w:val="0"/>
              </w:rPr>
            </w:pPr>
          </w:p>
          <w:p w14:paraId="6B39E5C5" w14:textId="77777777" w:rsidR="00323981" w:rsidRPr="003F0A2E" w:rsidRDefault="002A5331" w:rsidP="003F0A2E">
            <w:pPr>
              <w:pStyle w:val="Default"/>
              <w:numPr>
                <w:ilvl w:val="0"/>
                <w:numId w:val="3"/>
              </w:numPr>
            </w:pPr>
            <w:r w:rsidRPr="003F0A2E">
              <w:t xml:space="preserve">This post holder will </w:t>
            </w:r>
            <w:r w:rsidR="00DA1105" w:rsidRPr="003F0A2E">
              <w:t xml:space="preserve">also </w:t>
            </w:r>
            <w:proofErr w:type="gramStart"/>
            <w:r w:rsidR="00DA1105" w:rsidRPr="003F0A2E">
              <w:t>have an understanding of</w:t>
            </w:r>
            <w:proofErr w:type="gramEnd"/>
            <w:r w:rsidR="00DA1105" w:rsidRPr="003F0A2E">
              <w:t xml:space="preserve"> the risk factors</w:t>
            </w:r>
            <w:r w:rsidRPr="003F0A2E">
              <w:t xml:space="preserve"> </w:t>
            </w:r>
            <w:r w:rsidR="00DA1105" w:rsidRPr="003F0A2E">
              <w:t>associated with radicalisation &amp; extremism and demonstrate the ability to develop resources</w:t>
            </w:r>
            <w:r w:rsidRPr="003F0A2E">
              <w:t xml:space="preserve"> </w:t>
            </w:r>
            <w:r w:rsidR="00DA1105" w:rsidRPr="003F0A2E">
              <w:t>that encourage positive and constructive learning and debates within and between</w:t>
            </w:r>
            <w:r w:rsidRPr="003F0A2E">
              <w:t xml:space="preserve"> </w:t>
            </w:r>
            <w:r w:rsidR="00DA1105" w:rsidRPr="003F0A2E">
              <w:t>stakeholders.</w:t>
            </w:r>
          </w:p>
          <w:p w14:paraId="31D3B986" w14:textId="77777777" w:rsidR="003F0A2E" w:rsidRPr="003F0A2E" w:rsidRDefault="003F0A2E" w:rsidP="00323981">
            <w:pPr>
              <w:pStyle w:val="Default"/>
            </w:pPr>
          </w:p>
          <w:p w14:paraId="2730AA8F" w14:textId="567FC695" w:rsidR="00323981" w:rsidRPr="003F0A2E" w:rsidRDefault="00323981" w:rsidP="003F0A2E">
            <w:pPr>
              <w:pStyle w:val="Default"/>
              <w:numPr>
                <w:ilvl w:val="0"/>
                <w:numId w:val="3"/>
              </w:numPr>
              <w:spacing w:after="216"/>
            </w:pPr>
            <w:r w:rsidRPr="003F0A2E">
              <w:t xml:space="preserve">Work with local authorities to explore Home Office and other funding opportunities, such as the Preventing Radicalisation Fund, and collaborate where appropriate on joint funding bids. </w:t>
            </w:r>
          </w:p>
          <w:p w14:paraId="110BEA52" w14:textId="77777777" w:rsidR="00323981" w:rsidRPr="003F0A2E" w:rsidRDefault="00323981" w:rsidP="003F0A2E">
            <w:pPr>
              <w:pStyle w:val="Default"/>
              <w:numPr>
                <w:ilvl w:val="0"/>
                <w:numId w:val="3"/>
              </w:numPr>
              <w:spacing w:after="216"/>
            </w:pPr>
            <w:r w:rsidRPr="003F0A2E">
              <w:t xml:space="preserve">To engage with partners to understand the wide range of Prevent provision operating in the local area and undertake risk-assessments and provide information to the local authority &amp; other stakeholders on any wider safeguarding issues as appropriate. </w:t>
            </w:r>
          </w:p>
          <w:p w14:paraId="11291260" w14:textId="006F059E" w:rsidR="00323981" w:rsidRDefault="00323981" w:rsidP="003F0A2E">
            <w:pPr>
              <w:pStyle w:val="Default"/>
              <w:numPr>
                <w:ilvl w:val="0"/>
                <w:numId w:val="3"/>
              </w:numPr>
            </w:pPr>
            <w:r w:rsidRPr="003F0A2E">
              <w:t>Working with the Prevent Coordinator, various stakeholders and the</w:t>
            </w:r>
            <w:r w:rsidR="00AC05CC">
              <w:t xml:space="preserve"> </w:t>
            </w:r>
            <w:proofErr w:type="gramStart"/>
            <w:r w:rsidR="00AC05CC">
              <w:t>South West</w:t>
            </w:r>
            <w:proofErr w:type="gramEnd"/>
            <w:r w:rsidR="00AC05CC">
              <w:t xml:space="preserve"> Counter Terrorism Police</w:t>
            </w:r>
            <w:r w:rsidRPr="003F0A2E">
              <w:t xml:space="preserve">, maintain regular &amp; proactive contact with stakeholders such as the Department for Education (England) and the Homeland Security Group within the Home Office. In doing so, highlighting relevant information on extremism &amp; radicalisation that is impacting on individuals and communities as well as providing information on the effectiveness of Prevent in the local area. Provide regular information about related trends, issues and allegations and provide judgement on the success of interventions on a timely basis. </w:t>
            </w:r>
          </w:p>
          <w:p w14:paraId="7194C2C9" w14:textId="77777777" w:rsidR="001D6F28" w:rsidRDefault="001D6F28" w:rsidP="001D6F28">
            <w:pPr>
              <w:pStyle w:val="Default"/>
            </w:pPr>
          </w:p>
          <w:p w14:paraId="65FFD5DE" w14:textId="6A77B22B" w:rsidR="001D6F28" w:rsidRDefault="00B82B48" w:rsidP="003F0A2E">
            <w:pPr>
              <w:pStyle w:val="Default"/>
              <w:numPr>
                <w:ilvl w:val="0"/>
                <w:numId w:val="3"/>
              </w:numPr>
            </w:pPr>
            <w:r>
              <w:t xml:space="preserve">To ensure </w:t>
            </w:r>
            <w:r w:rsidR="001D6F28">
              <w:t>there are good links between the local Prevent system and both adults and children’s safeguarding services, alongside Dorset Police and other partners, to ensure management of risks</w:t>
            </w:r>
            <w:r w:rsidR="0098013B">
              <w:t>,</w:t>
            </w:r>
            <w:r w:rsidR="001D6F28">
              <w:t xml:space="preserve"> which sit outside Prevent</w:t>
            </w:r>
            <w:r w:rsidR="0098013B">
              <w:t>,</w:t>
            </w:r>
            <w:r w:rsidR="001D6F28">
              <w:t xml:space="preserve"> </w:t>
            </w:r>
            <w:r w:rsidR="0098013B">
              <w:t>are</w:t>
            </w:r>
            <w:r w:rsidR="001D6F28">
              <w:t xml:space="preserve"> properly co-ordinated</w:t>
            </w:r>
          </w:p>
          <w:p w14:paraId="031720B5" w14:textId="77777777" w:rsidR="001D6F28" w:rsidRDefault="001D6F28" w:rsidP="00B82B48">
            <w:pPr>
              <w:pStyle w:val="ListParagraph"/>
            </w:pPr>
          </w:p>
          <w:p w14:paraId="47A2DBEF" w14:textId="1B0ACE56" w:rsidR="00275E88" w:rsidRPr="00BA705E" w:rsidRDefault="00B82B48" w:rsidP="00E94C33">
            <w:pPr>
              <w:pStyle w:val="Default"/>
              <w:numPr>
                <w:ilvl w:val="0"/>
                <w:numId w:val="3"/>
              </w:numPr>
              <w:spacing w:line="300" w:lineRule="atLeast"/>
            </w:pPr>
            <w:r>
              <w:t>Provide occasional administrative cover to the Channel Panel process.</w:t>
            </w:r>
          </w:p>
          <w:p w14:paraId="2A9793D0" w14:textId="77777777" w:rsidR="00275E88" w:rsidRDefault="00275E88" w:rsidP="00BA705E">
            <w:pPr>
              <w:spacing w:after="0" w:line="300" w:lineRule="atLeast"/>
            </w:pPr>
          </w:p>
          <w:p w14:paraId="46D26E7F" w14:textId="76E1C53D" w:rsidR="009B6541" w:rsidRPr="00BA705E" w:rsidRDefault="009B6541" w:rsidP="002A5331">
            <w:pPr>
              <w:spacing w:after="0" w:line="300" w:lineRule="atLeast"/>
            </w:pPr>
          </w:p>
        </w:tc>
      </w:tr>
      <w:tr w:rsidR="002728D9" w:rsidRPr="002728D9" w14:paraId="20FF5F87" w14:textId="77777777" w:rsidTr="5B98B13D">
        <w:trPr>
          <w:trHeight w:val="555"/>
        </w:trPr>
        <w:tc>
          <w:tcPr>
            <w:tcW w:w="13467"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6646" w:rsidRDefault="002728D9" w:rsidP="002728D9">
            <w:r w:rsidRPr="00276646">
              <w:rPr>
                <w:b/>
              </w:rPr>
              <w:lastRenderedPageBreak/>
              <w:t>Specific person specification associated with this position</w:t>
            </w:r>
            <w:r w:rsidRPr="00276646">
              <w:t> </w:t>
            </w:r>
          </w:p>
        </w:tc>
      </w:tr>
      <w:tr w:rsidR="002728D9" w:rsidRPr="002728D9" w14:paraId="1D7BBB1E" w14:textId="77777777" w:rsidTr="5B98B13D">
        <w:trPr>
          <w:trHeight w:val="555"/>
        </w:trPr>
        <w:tc>
          <w:tcPr>
            <w:tcW w:w="1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6646" w:rsidRDefault="002728D9" w:rsidP="002728D9">
            <w:r w:rsidRPr="00276646">
              <w:t> </w:t>
            </w:r>
          </w:p>
        </w:tc>
        <w:tc>
          <w:tcPr>
            <w:tcW w:w="13332" w:type="dxa"/>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561C6F32" w:rsidR="002728D9" w:rsidRPr="00276646" w:rsidRDefault="00547C28" w:rsidP="00547C28">
            <w:r w:rsidRPr="00276646">
              <w:rPr>
                <w:b/>
              </w:rPr>
              <w:t>Use this section to identify other requirements for this position.</w:t>
            </w:r>
            <w:r w:rsidRPr="00276646">
              <w:t> </w:t>
            </w:r>
          </w:p>
        </w:tc>
      </w:tr>
      <w:tr w:rsidR="002728D9" w:rsidRPr="002728D9" w14:paraId="5E6AAE2D" w14:textId="77777777" w:rsidTr="5B98B13D">
        <w:trPr>
          <w:trHeight w:val="1665"/>
        </w:trPr>
        <w:tc>
          <w:tcPr>
            <w:tcW w:w="135"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6646" w:rsidRDefault="002728D9" w:rsidP="002728D9">
            <w:r w:rsidRPr="00276646">
              <w:t> </w:t>
            </w:r>
          </w:p>
        </w:tc>
        <w:tc>
          <w:tcPr>
            <w:tcW w:w="13332" w:type="dxa"/>
            <w:tcBorders>
              <w:top w:val="single" w:sz="6" w:space="0" w:color="auto"/>
              <w:left w:val="single" w:sz="6" w:space="0" w:color="auto"/>
              <w:bottom w:val="single" w:sz="6" w:space="0" w:color="auto"/>
              <w:right w:val="single" w:sz="6" w:space="0" w:color="000000" w:themeColor="text1"/>
            </w:tcBorders>
            <w:hideMark/>
          </w:tcPr>
          <w:p w14:paraId="5F6A9E1A" w14:textId="7E1A25C8" w:rsidR="002728D9" w:rsidRDefault="4E661949" w:rsidP="001444C1">
            <w:pPr>
              <w:numPr>
                <w:ilvl w:val="0"/>
                <w:numId w:val="1"/>
              </w:numPr>
              <w:spacing w:after="0" w:line="300" w:lineRule="atLeast"/>
            </w:pPr>
            <w:r>
              <w:t>Enhanced</w:t>
            </w:r>
            <w:r w:rsidR="00DA2849">
              <w:t xml:space="preserve"> </w:t>
            </w:r>
            <w:r w:rsidR="0076715D">
              <w:t>DBS Check</w:t>
            </w:r>
          </w:p>
          <w:p w14:paraId="3B7F9752" w14:textId="70F4336B" w:rsidR="004B674E" w:rsidRPr="00A81FEC" w:rsidRDefault="006F37A8" w:rsidP="001444C1">
            <w:pPr>
              <w:numPr>
                <w:ilvl w:val="0"/>
                <w:numId w:val="1"/>
              </w:numPr>
              <w:spacing w:after="0" w:line="300" w:lineRule="atLeast"/>
            </w:pPr>
            <w:r w:rsidRPr="00A81FEC">
              <w:t>High level of political awareness with the ability to link strategies for continuous improvement, with the drive to achieve national, corporate, and local standards and goals.</w:t>
            </w:r>
          </w:p>
          <w:p w14:paraId="41170CDD" w14:textId="77777777" w:rsidR="004B674E" w:rsidRDefault="004B674E" w:rsidP="004B674E">
            <w:pPr>
              <w:pStyle w:val="Default"/>
            </w:pPr>
          </w:p>
          <w:p w14:paraId="7EC17321" w14:textId="154C2411" w:rsidR="004B674E" w:rsidRPr="00276646" w:rsidRDefault="004B674E" w:rsidP="006F37A8">
            <w:pPr>
              <w:spacing w:after="0" w:line="300" w:lineRule="atLeast"/>
            </w:pPr>
          </w:p>
        </w:tc>
      </w:tr>
    </w:tbl>
    <w:p w14:paraId="38519124" w14:textId="77777777" w:rsidR="00CC3EAD" w:rsidRPr="006069C3" w:rsidRDefault="00CC3EAD" w:rsidP="002728D9">
      <w:pPr>
        <w:rPr>
          <w:b/>
          <w:bCs/>
        </w:rPr>
      </w:pPr>
    </w:p>
    <w:p w14:paraId="68318B63" w14:textId="15CE01A7" w:rsidR="00712442" w:rsidRPr="006069C3" w:rsidRDefault="00712442" w:rsidP="002728D9">
      <w:pPr>
        <w:rPr>
          <w:b/>
          <w:bCs/>
        </w:rPr>
      </w:pPr>
      <w:r w:rsidRPr="006069C3">
        <w:rPr>
          <w:b/>
          <w:bCs/>
        </w:rPr>
        <w:t xml:space="preserve">For P&amp;R </w:t>
      </w:r>
      <w:r w:rsidR="00547C28">
        <w:rPr>
          <w:b/>
          <w:bCs/>
        </w:rPr>
        <w:t>u</w:t>
      </w:r>
      <w:r w:rsidRPr="006069C3">
        <w:rPr>
          <w:b/>
          <w:bCs/>
        </w:rPr>
        <w:t>se</w:t>
      </w:r>
      <w:r w:rsidR="00547C28">
        <w:rPr>
          <w:b/>
          <w:bCs/>
        </w:rPr>
        <w:t xml:space="preserve"> o</w:t>
      </w:r>
      <w:r w:rsidRPr="006069C3">
        <w:rPr>
          <w:b/>
          <w:bCs/>
        </w:rPr>
        <w:t>nly:</w:t>
      </w:r>
    </w:p>
    <w:p w14:paraId="651D70AA" w14:textId="5F48F06D" w:rsidR="00712442" w:rsidRDefault="00712442" w:rsidP="002728D9">
      <w:r>
        <w:t xml:space="preserve">Role Profile Addendum </w:t>
      </w:r>
      <w:r w:rsidR="00547C28">
        <w:t>r</w:t>
      </w:r>
      <w:r>
        <w:t xml:space="preserve">eference </w:t>
      </w:r>
      <w:r w:rsidR="00547C28">
        <w:t>n</w:t>
      </w:r>
      <w:r>
        <w:t>umber:   ………………………………</w:t>
      </w:r>
    </w:p>
    <w:p w14:paraId="7AAC67ED" w14:textId="2CF24BF3" w:rsidR="006069C3" w:rsidRPr="002728D9" w:rsidRDefault="006069C3" w:rsidP="002728D9">
      <w:r>
        <w:t>Date</w:t>
      </w:r>
      <w:r w:rsidR="00D363A2">
        <w:t xml:space="preserve"> </w:t>
      </w:r>
      <w:r w:rsidR="00547C28">
        <w:t>s</w:t>
      </w:r>
      <w:r w:rsidR="00D363A2">
        <w:t xml:space="preserve">aved:   </w:t>
      </w:r>
      <w:r w:rsidR="00547C28">
        <w:t>………………………………………………………………….</w:t>
      </w:r>
    </w:p>
    <w:sectPr w:rsidR="006069C3" w:rsidRPr="002728D9" w:rsidSect="00F35016">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223B" w14:textId="77777777" w:rsidR="00D864AD" w:rsidRDefault="00D864AD" w:rsidP="006A3990">
      <w:pPr>
        <w:spacing w:after="0" w:line="240" w:lineRule="auto"/>
      </w:pPr>
      <w:r>
        <w:separator/>
      </w:r>
    </w:p>
  </w:endnote>
  <w:endnote w:type="continuationSeparator" w:id="0">
    <w:p w14:paraId="293941B0" w14:textId="77777777" w:rsidR="00D864AD" w:rsidRDefault="00D864AD"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49A2" w14:textId="77777777" w:rsidR="00D864AD" w:rsidRDefault="00D864AD" w:rsidP="006A3990">
      <w:pPr>
        <w:spacing w:after="0" w:line="240" w:lineRule="auto"/>
      </w:pPr>
      <w:r>
        <w:separator/>
      </w:r>
    </w:p>
  </w:footnote>
  <w:footnote w:type="continuationSeparator" w:id="0">
    <w:p w14:paraId="08352EF1" w14:textId="77777777" w:rsidR="00D864AD" w:rsidRDefault="00D864AD"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7A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600D49"/>
    <w:multiLevelType w:val="hybridMultilevel"/>
    <w:tmpl w:val="E73A2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765EAC"/>
    <w:multiLevelType w:val="hybridMultilevel"/>
    <w:tmpl w:val="05EA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32E98"/>
    <w:multiLevelType w:val="multilevel"/>
    <w:tmpl w:val="78A2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5554037">
    <w:abstractNumId w:val="3"/>
  </w:num>
  <w:num w:numId="2" w16cid:durableId="759987598">
    <w:abstractNumId w:val="1"/>
  </w:num>
  <w:num w:numId="3" w16cid:durableId="1315140456">
    <w:abstractNumId w:val="2"/>
  </w:num>
  <w:num w:numId="4" w16cid:durableId="19637274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00EBB"/>
    <w:rsid w:val="00010BCB"/>
    <w:rsid w:val="000231C5"/>
    <w:rsid w:val="000249DC"/>
    <w:rsid w:val="00030474"/>
    <w:rsid w:val="00044228"/>
    <w:rsid w:val="0004713B"/>
    <w:rsid w:val="00053B0E"/>
    <w:rsid w:val="000615A3"/>
    <w:rsid w:val="00062236"/>
    <w:rsid w:val="0007123F"/>
    <w:rsid w:val="00073DA8"/>
    <w:rsid w:val="000758EF"/>
    <w:rsid w:val="00085522"/>
    <w:rsid w:val="000A123A"/>
    <w:rsid w:val="000A3285"/>
    <w:rsid w:val="000B310D"/>
    <w:rsid w:val="000D5E7E"/>
    <w:rsid w:val="000E5856"/>
    <w:rsid w:val="00104263"/>
    <w:rsid w:val="001124B1"/>
    <w:rsid w:val="00115A0A"/>
    <w:rsid w:val="00116913"/>
    <w:rsid w:val="001179A7"/>
    <w:rsid w:val="00124522"/>
    <w:rsid w:val="00126F4A"/>
    <w:rsid w:val="001273B0"/>
    <w:rsid w:val="00133C80"/>
    <w:rsid w:val="001414F8"/>
    <w:rsid w:val="001444C1"/>
    <w:rsid w:val="001469D6"/>
    <w:rsid w:val="00146EF2"/>
    <w:rsid w:val="00152FAF"/>
    <w:rsid w:val="0016337B"/>
    <w:rsid w:val="00173E77"/>
    <w:rsid w:val="00176C10"/>
    <w:rsid w:val="001841EC"/>
    <w:rsid w:val="0019658C"/>
    <w:rsid w:val="001A2ED7"/>
    <w:rsid w:val="001A6EEE"/>
    <w:rsid w:val="001B7315"/>
    <w:rsid w:val="001C0025"/>
    <w:rsid w:val="001C01DE"/>
    <w:rsid w:val="001D58CE"/>
    <w:rsid w:val="001D6F28"/>
    <w:rsid w:val="001E1146"/>
    <w:rsid w:val="001E1916"/>
    <w:rsid w:val="001E26F0"/>
    <w:rsid w:val="00205A61"/>
    <w:rsid w:val="00211D3D"/>
    <w:rsid w:val="00212F29"/>
    <w:rsid w:val="00230D98"/>
    <w:rsid w:val="00235D18"/>
    <w:rsid w:val="00251732"/>
    <w:rsid w:val="002611D9"/>
    <w:rsid w:val="00270924"/>
    <w:rsid w:val="00271CED"/>
    <w:rsid w:val="002728D9"/>
    <w:rsid w:val="00275E88"/>
    <w:rsid w:val="00276646"/>
    <w:rsid w:val="00282FB0"/>
    <w:rsid w:val="002928D7"/>
    <w:rsid w:val="0029412C"/>
    <w:rsid w:val="002A1897"/>
    <w:rsid w:val="002A2BC6"/>
    <w:rsid w:val="002A4D60"/>
    <w:rsid w:val="002A5331"/>
    <w:rsid w:val="002B18F4"/>
    <w:rsid w:val="002C246B"/>
    <w:rsid w:val="002D5205"/>
    <w:rsid w:val="002F4ECC"/>
    <w:rsid w:val="003067AC"/>
    <w:rsid w:val="00316FB4"/>
    <w:rsid w:val="00323981"/>
    <w:rsid w:val="00344165"/>
    <w:rsid w:val="00354600"/>
    <w:rsid w:val="00374133"/>
    <w:rsid w:val="0039070E"/>
    <w:rsid w:val="00392B1F"/>
    <w:rsid w:val="003A33BA"/>
    <w:rsid w:val="003B00CB"/>
    <w:rsid w:val="003B2F15"/>
    <w:rsid w:val="003D6C0A"/>
    <w:rsid w:val="003E7592"/>
    <w:rsid w:val="003F0A2E"/>
    <w:rsid w:val="004003B5"/>
    <w:rsid w:val="00402C87"/>
    <w:rsid w:val="00407EA1"/>
    <w:rsid w:val="00413FC9"/>
    <w:rsid w:val="00416270"/>
    <w:rsid w:val="00421375"/>
    <w:rsid w:val="00444B76"/>
    <w:rsid w:val="00453E38"/>
    <w:rsid w:val="004616F4"/>
    <w:rsid w:val="0047143E"/>
    <w:rsid w:val="00480E60"/>
    <w:rsid w:val="00482CD5"/>
    <w:rsid w:val="0048304D"/>
    <w:rsid w:val="00493062"/>
    <w:rsid w:val="00494206"/>
    <w:rsid w:val="004B674E"/>
    <w:rsid w:val="004C35E6"/>
    <w:rsid w:val="004C3746"/>
    <w:rsid w:val="004C4E93"/>
    <w:rsid w:val="004D298B"/>
    <w:rsid w:val="004E5F59"/>
    <w:rsid w:val="004E62EA"/>
    <w:rsid w:val="004E6937"/>
    <w:rsid w:val="004F28C5"/>
    <w:rsid w:val="004F66D6"/>
    <w:rsid w:val="00501084"/>
    <w:rsid w:val="005040B2"/>
    <w:rsid w:val="00517F73"/>
    <w:rsid w:val="00525DD3"/>
    <w:rsid w:val="00532D53"/>
    <w:rsid w:val="00534C2B"/>
    <w:rsid w:val="00547C28"/>
    <w:rsid w:val="0058053E"/>
    <w:rsid w:val="005828A3"/>
    <w:rsid w:val="00584941"/>
    <w:rsid w:val="005A198D"/>
    <w:rsid w:val="005C02C8"/>
    <w:rsid w:val="005C20D3"/>
    <w:rsid w:val="005C366C"/>
    <w:rsid w:val="005C51FB"/>
    <w:rsid w:val="005C7EB8"/>
    <w:rsid w:val="005F2B4E"/>
    <w:rsid w:val="005F61F1"/>
    <w:rsid w:val="006025D6"/>
    <w:rsid w:val="006069C3"/>
    <w:rsid w:val="006160FC"/>
    <w:rsid w:val="00617079"/>
    <w:rsid w:val="006235E7"/>
    <w:rsid w:val="006245F7"/>
    <w:rsid w:val="00630392"/>
    <w:rsid w:val="0064115F"/>
    <w:rsid w:val="00643DF3"/>
    <w:rsid w:val="0064633B"/>
    <w:rsid w:val="00651018"/>
    <w:rsid w:val="0065267A"/>
    <w:rsid w:val="0067355B"/>
    <w:rsid w:val="00690E3F"/>
    <w:rsid w:val="00696133"/>
    <w:rsid w:val="00697EB4"/>
    <w:rsid w:val="006A3990"/>
    <w:rsid w:val="006C60F3"/>
    <w:rsid w:val="006D3565"/>
    <w:rsid w:val="006E57EB"/>
    <w:rsid w:val="006F0A27"/>
    <w:rsid w:val="006F37A8"/>
    <w:rsid w:val="0071193D"/>
    <w:rsid w:val="00712442"/>
    <w:rsid w:val="007164D6"/>
    <w:rsid w:val="00734C94"/>
    <w:rsid w:val="00737A99"/>
    <w:rsid w:val="00743CBF"/>
    <w:rsid w:val="00753F46"/>
    <w:rsid w:val="00754288"/>
    <w:rsid w:val="00762ADF"/>
    <w:rsid w:val="0076715D"/>
    <w:rsid w:val="00767C60"/>
    <w:rsid w:val="00771647"/>
    <w:rsid w:val="007A12BA"/>
    <w:rsid w:val="007A7952"/>
    <w:rsid w:val="007C0B69"/>
    <w:rsid w:val="00807846"/>
    <w:rsid w:val="008123E6"/>
    <w:rsid w:val="00822952"/>
    <w:rsid w:val="008311B2"/>
    <w:rsid w:val="00842CDB"/>
    <w:rsid w:val="0084307C"/>
    <w:rsid w:val="00844089"/>
    <w:rsid w:val="0086357C"/>
    <w:rsid w:val="00877E69"/>
    <w:rsid w:val="00880710"/>
    <w:rsid w:val="008808C0"/>
    <w:rsid w:val="00896D1A"/>
    <w:rsid w:val="00897B89"/>
    <w:rsid w:val="008B665E"/>
    <w:rsid w:val="008B6BCC"/>
    <w:rsid w:val="008C64DC"/>
    <w:rsid w:val="008F6E57"/>
    <w:rsid w:val="00901BA0"/>
    <w:rsid w:val="00903999"/>
    <w:rsid w:val="0092250C"/>
    <w:rsid w:val="00960D4C"/>
    <w:rsid w:val="009637E1"/>
    <w:rsid w:val="00973CA8"/>
    <w:rsid w:val="00976694"/>
    <w:rsid w:val="0098013B"/>
    <w:rsid w:val="00981DDD"/>
    <w:rsid w:val="009824EB"/>
    <w:rsid w:val="00986E81"/>
    <w:rsid w:val="009959C9"/>
    <w:rsid w:val="009A3707"/>
    <w:rsid w:val="009B15BB"/>
    <w:rsid w:val="009B2DA8"/>
    <w:rsid w:val="009B6541"/>
    <w:rsid w:val="009C63BE"/>
    <w:rsid w:val="009D0707"/>
    <w:rsid w:val="009D6244"/>
    <w:rsid w:val="00A00266"/>
    <w:rsid w:val="00A11FFF"/>
    <w:rsid w:val="00A44900"/>
    <w:rsid w:val="00A65B13"/>
    <w:rsid w:val="00A73B9F"/>
    <w:rsid w:val="00A766AE"/>
    <w:rsid w:val="00A81FEC"/>
    <w:rsid w:val="00A86E6C"/>
    <w:rsid w:val="00A955B3"/>
    <w:rsid w:val="00A972DD"/>
    <w:rsid w:val="00AB0A0C"/>
    <w:rsid w:val="00AB3944"/>
    <w:rsid w:val="00AC05CC"/>
    <w:rsid w:val="00AC34DE"/>
    <w:rsid w:val="00AD087D"/>
    <w:rsid w:val="00AE361D"/>
    <w:rsid w:val="00B261AC"/>
    <w:rsid w:val="00B30A86"/>
    <w:rsid w:val="00B359ED"/>
    <w:rsid w:val="00B41726"/>
    <w:rsid w:val="00B44630"/>
    <w:rsid w:val="00B44722"/>
    <w:rsid w:val="00B463FA"/>
    <w:rsid w:val="00B47B96"/>
    <w:rsid w:val="00B5379C"/>
    <w:rsid w:val="00B77569"/>
    <w:rsid w:val="00B801AA"/>
    <w:rsid w:val="00B82B48"/>
    <w:rsid w:val="00BA3458"/>
    <w:rsid w:val="00BA705E"/>
    <w:rsid w:val="00BA7E5B"/>
    <w:rsid w:val="00BB0440"/>
    <w:rsid w:val="00BB7D72"/>
    <w:rsid w:val="00BC18C0"/>
    <w:rsid w:val="00BC2AC8"/>
    <w:rsid w:val="00BD5F3C"/>
    <w:rsid w:val="00BF0FD4"/>
    <w:rsid w:val="00BF7EEE"/>
    <w:rsid w:val="00C03C45"/>
    <w:rsid w:val="00C05891"/>
    <w:rsid w:val="00C10A09"/>
    <w:rsid w:val="00C14557"/>
    <w:rsid w:val="00C159AF"/>
    <w:rsid w:val="00C23206"/>
    <w:rsid w:val="00C306D9"/>
    <w:rsid w:val="00C3332B"/>
    <w:rsid w:val="00C54CDB"/>
    <w:rsid w:val="00C56964"/>
    <w:rsid w:val="00C630F0"/>
    <w:rsid w:val="00C90DE1"/>
    <w:rsid w:val="00C9335C"/>
    <w:rsid w:val="00C95C83"/>
    <w:rsid w:val="00C9763D"/>
    <w:rsid w:val="00CC3EAD"/>
    <w:rsid w:val="00CD65C5"/>
    <w:rsid w:val="00CE5BF8"/>
    <w:rsid w:val="00CE7702"/>
    <w:rsid w:val="00CF6185"/>
    <w:rsid w:val="00D34342"/>
    <w:rsid w:val="00D363A2"/>
    <w:rsid w:val="00D52CF0"/>
    <w:rsid w:val="00D53102"/>
    <w:rsid w:val="00D66816"/>
    <w:rsid w:val="00D77136"/>
    <w:rsid w:val="00D82415"/>
    <w:rsid w:val="00D864AD"/>
    <w:rsid w:val="00D93602"/>
    <w:rsid w:val="00DA1105"/>
    <w:rsid w:val="00DA2849"/>
    <w:rsid w:val="00DA28A3"/>
    <w:rsid w:val="00DC4685"/>
    <w:rsid w:val="00DE6536"/>
    <w:rsid w:val="00DF1DF9"/>
    <w:rsid w:val="00DF2342"/>
    <w:rsid w:val="00DF26FF"/>
    <w:rsid w:val="00DF7F96"/>
    <w:rsid w:val="00E0015E"/>
    <w:rsid w:val="00E00357"/>
    <w:rsid w:val="00E034B0"/>
    <w:rsid w:val="00E041FD"/>
    <w:rsid w:val="00E047E1"/>
    <w:rsid w:val="00E26445"/>
    <w:rsid w:val="00E27E3F"/>
    <w:rsid w:val="00E506A3"/>
    <w:rsid w:val="00E51634"/>
    <w:rsid w:val="00E51B50"/>
    <w:rsid w:val="00E54D52"/>
    <w:rsid w:val="00E70C35"/>
    <w:rsid w:val="00E70C43"/>
    <w:rsid w:val="00E76397"/>
    <w:rsid w:val="00E82CB1"/>
    <w:rsid w:val="00E85C3D"/>
    <w:rsid w:val="00E85D2D"/>
    <w:rsid w:val="00E92C47"/>
    <w:rsid w:val="00E94C33"/>
    <w:rsid w:val="00EB104D"/>
    <w:rsid w:val="00EC40AF"/>
    <w:rsid w:val="00EC51B4"/>
    <w:rsid w:val="00EC79A7"/>
    <w:rsid w:val="00ED38FE"/>
    <w:rsid w:val="00EE5F25"/>
    <w:rsid w:val="00F10483"/>
    <w:rsid w:val="00F32130"/>
    <w:rsid w:val="00F35016"/>
    <w:rsid w:val="00F35E39"/>
    <w:rsid w:val="00F3680D"/>
    <w:rsid w:val="00F4203D"/>
    <w:rsid w:val="00FA0C2C"/>
    <w:rsid w:val="00FC18DA"/>
    <w:rsid w:val="00FD17CD"/>
    <w:rsid w:val="00FE5B9C"/>
    <w:rsid w:val="00FE5C05"/>
    <w:rsid w:val="00FF6FDC"/>
    <w:rsid w:val="01CFF537"/>
    <w:rsid w:val="0277ACC9"/>
    <w:rsid w:val="035D4B22"/>
    <w:rsid w:val="04F590EE"/>
    <w:rsid w:val="072F8B6E"/>
    <w:rsid w:val="07ABB846"/>
    <w:rsid w:val="08487CD2"/>
    <w:rsid w:val="0C5E80F5"/>
    <w:rsid w:val="0E3B1B8F"/>
    <w:rsid w:val="12F29304"/>
    <w:rsid w:val="174D9B4C"/>
    <w:rsid w:val="18E6B8DC"/>
    <w:rsid w:val="1C9F3E11"/>
    <w:rsid w:val="1E0B9302"/>
    <w:rsid w:val="1FA84C96"/>
    <w:rsid w:val="27368B52"/>
    <w:rsid w:val="291E3591"/>
    <w:rsid w:val="2A107E11"/>
    <w:rsid w:val="2BB587B7"/>
    <w:rsid w:val="305E93BC"/>
    <w:rsid w:val="3225B36D"/>
    <w:rsid w:val="3801A650"/>
    <w:rsid w:val="3826FA85"/>
    <w:rsid w:val="382A3B3A"/>
    <w:rsid w:val="38312B5F"/>
    <w:rsid w:val="3C91AA79"/>
    <w:rsid w:val="3FB63128"/>
    <w:rsid w:val="41325EDF"/>
    <w:rsid w:val="42342FC6"/>
    <w:rsid w:val="42EF012E"/>
    <w:rsid w:val="439C1D80"/>
    <w:rsid w:val="47D8EE6F"/>
    <w:rsid w:val="491B710D"/>
    <w:rsid w:val="4D17168B"/>
    <w:rsid w:val="4E03920D"/>
    <w:rsid w:val="4E661949"/>
    <w:rsid w:val="51EA5821"/>
    <w:rsid w:val="5486E0CA"/>
    <w:rsid w:val="587616F3"/>
    <w:rsid w:val="5B98B13D"/>
    <w:rsid w:val="5CCACB04"/>
    <w:rsid w:val="5F5F05E0"/>
    <w:rsid w:val="5FF90349"/>
    <w:rsid w:val="65A69F80"/>
    <w:rsid w:val="6766EEF9"/>
    <w:rsid w:val="6774CDEC"/>
    <w:rsid w:val="69F3FD12"/>
    <w:rsid w:val="71F1DBAE"/>
    <w:rsid w:val="78897294"/>
    <w:rsid w:val="7E7FB03B"/>
    <w:rsid w:val="7EB24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619EFB62-16A3-4325-B83B-AE58937A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8"/>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customStyle="1" w:styleId="paragraph">
    <w:name w:val="paragraph"/>
    <w:basedOn w:val="Normal"/>
    <w:rsid w:val="00F350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35016"/>
  </w:style>
  <w:style w:type="character" w:customStyle="1" w:styleId="eop">
    <w:name w:val="eop"/>
    <w:basedOn w:val="DefaultParagraphFont"/>
    <w:rsid w:val="00F35016"/>
  </w:style>
  <w:style w:type="paragraph" w:customStyle="1" w:styleId="Default">
    <w:name w:val="Default"/>
    <w:rsid w:val="004B674E"/>
    <w:pPr>
      <w:autoSpaceDE w:val="0"/>
      <w:autoSpaceDN w:val="0"/>
      <w:adjustRightInd w:val="0"/>
      <w:spacing w:after="0" w:line="240" w:lineRule="auto"/>
    </w:pPr>
    <w:rPr>
      <w:color w:val="000000"/>
      <w:kern w:val="0"/>
    </w:rPr>
  </w:style>
  <w:style w:type="paragraph" w:styleId="Revision">
    <w:name w:val="Revision"/>
    <w:hidden/>
    <w:uiPriority w:val="99"/>
    <w:semiHidden/>
    <w:rsid w:val="00DA2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dfcd99d81f16ec78cee55e1e77985ac9">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1b0d0665cd24df6e147195d5c1c62529"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2.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9c7871c0-ee3a-4167-9f64-aed05450f001"/>
    <ds:schemaRef ds:uri="1f6daf0d-3472-4400-9bd3-37ec902c3b44"/>
  </ds:schemaRefs>
</ds:datastoreItem>
</file>

<file path=customXml/itemProps3.xml><?xml version="1.0" encoding="utf-8"?>
<ds:datastoreItem xmlns:ds="http://schemas.openxmlformats.org/officeDocument/2006/customXml" ds:itemID="{834420CC-4ECB-4520-9399-D42111B7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Tina Symington</cp:lastModifiedBy>
  <cp:revision>12</cp:revision>
  <dcterms:created xsi:type="dcterms:W3CDTF">2026-05-19T06:41:00Z</dcterms:created>
  <dcterms:modified xsi:type="dcterms:W3CDTF">2026-05-21T16:01:00Z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