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A0AF" w14:textId="00CF2BDF" w:rsidR="00C26D71" w:rsidRPr="002C732A" w:rsidRDefault="00221B0E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>
        <w:rPr>
          <w:b/>
          <w:color w:val="808080" w:themeColor="background1" w:themeShade="80"/>
          <w:sz w:val="36"/>
          <w:szCs w:val="36"/>
        </w:rPr>
        <w:t>Role Profile</w:t>
      </w:r>
    </w:p>
    <w:p w14:paraId="732F48FD" w14:textId="0A2143FD" w:rsidR="002A3B04" w:rsidRPr="00413080" w:rsidRDefault="006947B6" w:rsidP="00413080">
      <w:pPr>
        <w:spacing w:after="120" w:line="400" w:lineRule="exact"/>
        <w:rPr>
          <w:b/>
          <w:color w:val="005596" w:themeColor="text2"/>
          <w:sz w:val="36"/>
          <w:szCs w:val="36"/>
        </w:rPr>
      </w:pPr>
      <w:r w:rsidRPr="006947B6">
        <w:rPr>
          <w:b/>
          <w:color w:val="005596" w:themeColor="text2"/>
          <w:sz w:val="36"/>
          <w:szCs w:val="36"/>
        </w:rPr>
        <w:t xml:space="preserve">Leadership </w:t>
      </w:r>
      <w:r>
        <w:rPr>
          <w:b/>
          <w:color w:val="005596" w:themeColor="text2"/>
          <w:sz w:val="36"/>
          <w:szCs w:val="36"/>
        </w:rPr>
        <w:t xml:space="preserve">– BCP </w:t>
      </w:r>
      <w:r w:rsidRPr="006947B6">
        <w:rPr>
          <w:b/>
          <w:color w:val="005596" w:themeColor="text2"/>
          <w:sz w:val="36"/>
          <w:szCs w:val="36"/>
        </w:rPr>
        <w:t>Band P</w:t>
      </w:r>
    </w:p>
    <w:tbl>
      <w:tblPr>
        <w:tblStyle w:val="MediumList2-Accent1"/>
        <w:tblpPr w:leftFromText="180" w:rightFromText="180" w:vertAnchor="text" w:horzAnchor="margin" w:tblpY="615"/>
        <w:tblW w:w="1059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68"/>
        <w:gridCol w:w="1167"/>
        <w:gridCol w:w="7763"/>
      </w:tblGrid>
      <w:tr w:rsidR="00FE0259" w:rsidRPr="00190E52" w14:paraId="1C264DC4" w14:textId="77777777" w:rsidTr="4B416C5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763" w:type="dxa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gridSpan w:val="2"/>
            <w:tcBorders>
              <w:bottom w:val="nil"/>
            </w:tcBorders>
          </w:tcPr>
          <w:p w14:paraId="781015EE" w14:textId="77777777" w:rsidR="00FE0259" w:rsidRPr="005925D3" w:rsidRDefault="00FE0259" w:rsidP="00413080">
            <w:pPr>
              <w:rPr>
                <w:rFonts w:cs="Arial"/>
              </w:rPr>
            </w:pPr>
            <w:r w:rsidRPr="005925D3">
              <w:rPr>
                <w:rFonts w:cs="Arial"/>
                <w:color w:val="808080" w:themeColor="background1" w:themeShade="80"/>
                <w:sz w:val="36"/>
                <w:szCs w:val="36"/>
              </w:rPr>
              <w:t>Competencies</w:t>
            </w:r>
          </w:p>
        </w:tc>
      </w:tr>
      <w:tr w:rsidR="00B77BB1" w:rsidRPr="001D7880" w14:paraId="6DC6B57C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8206E3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 xml:space="preserve">Managing, Leading and Developing Others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EEC2A" w14:textId="7BE95976" w:rsidR="00B77BB1" w:rsidRPr="0023592A" w:rsidRDefault="00CB607A" w:rsidP="4B416C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4B416C59">
              <w:rPr>
                <w:rFonts w:cs="Arial"/>
              </w:rPr>
              <w:t>Manage large numbers of employees, typically in 4-6 teams, with a range of professional areas of work</w:t>
            </w:r>
            <w:r w:rsidR="3BF10A61" w:rsidRPr="4B416C59">
              <w:rPr>
                <w:rFonts w:cs="Arial"/>
              </w:rPr>
              <w:t xml:space="preserve">. </w:t>
            </w:r>
          </w:p>
        </w:tc>
      </w:tr>
      <w:tr w:rsidR="00B77BB1" w:rsidRPr="001D7880" w14:paraId="0F07D328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7B2D5905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D0224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Manage and develop others to achieve strategic aims and best possible organisational performance through the creativity and innovation of its people</w:t>
            </w:r>
          </w:p>
        </w:tc>
      </w:tr>
      <w:tr w:rsidR="00B77BB1" w:rsidRPr="001D7880" w14:paraId="0B3FCA00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3A3C6239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3991037E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Understand the importance of diverse talent during recruitment and development practices</w:t>
            </w:r>
          </w:p>
        </w:tc>
      </w:tr>
      <w:tr w:rsidR="00B77BB1" w:rsidRPr="001D7880" w14:paraId="6315F959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29351195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73F041B7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23592A">
              <w:rPr>
                <w:szCs w:val="22"/>
              </w:rPr>
              <w:t>Communicate team contributions and successes to stakeholders and share feedback</w:t>
            </w:r>
          </w:p>
        </w:tc>
      </w:tr>
      <w:tr w:rsidR="00B77BB1" w:rsidRPr="001D7880" w14:paraId="4BB341B5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5D0BAC83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23E60DFC" w14:textId="77777777" w:rsidR="00B77BB1" w:rsidRPr="0023592A" w:rsidRDefault="00C17AB1" w:rsidP="00587F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23592A">
              <w:rPr>
                <w:szCs w:val="22"/>
              </w:rPr>
              <w:t>Create an enthusiastic and focused environment where teams are empowered to put customer</w:t>
            </w:r>
            <w:r w:rsidR="00587FAB" w:rsidRPr="0023592A">
              <w:rPr>
                <w:szCs w:val="22"/>
              </w:rPr>
              <w:t xml:space="preserve"> diversity</w:t>
            </w:r>
            <w:r w:rsidRPr="0023592A">
              <w:rPr>
                <w:szCs w:val="22"/>
              </w:rPr>
              <w:t xml:space="preserve"> first and deliver excellent services</w:t>
            </w:r>
          </w:p>
        </w:tc>
      </w:tr>
      <w:tr w:rsidR="00B77BB1" w:rsidRPr="001D7880" w14:paraId="357DCB92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36EC8955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2B5D4DC8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23592A">
              <w:rPr>
                <w:szCs w:val="22"/>
              </w:rPr>
              <w:t>Understand and address performance issues promptly providing continuous feedback</w:t>
            </w:r>
          </w:p>
        </w:tc>
      </w:tr>
      <w:tr w:rsidR="000025A9" w:rsidRPr="001D7880" w14:paraId="5996BD48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35F778AE" w14:textId="77777777" w:rsidR="000025A9" w:rsidRPr="00413080" w:rsidRDefault="000025A9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71DD807A" w14:textId="77777777" w:rsidR="000025A9" w:rsidRPr="0023592A" w:rsidRDefault="000025A9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23592A">
              <w:rPr>
                <w:szCs w:val="22"/>
              </w:rPr>
              <w:t xml:space="preserve">Enables each team member to use their full range of skills, and develop whole teams </w:t>
            </w:r>
            <w:proofErr w:type="gramStart"/>
            <w:r w:rsidRPr="0023592A">
              <w:rPr>
                <w:szCs w:val="22"/>
              </w:rPr>
              <w:t>to  support</w:t>
            </w:r>
            <w:proofErr w:type="gramEnd"/>
            <w:r w:rsidRPr="0023592A">
              <w:rPr>
                <w:szCs w:val="22"/>
              </w:rPr>
              <w:t xml:space="preserve"> and understand </w:t>
            </w:r>
            <w:proofErr w:type="spellStart"/>
            <w:r w:rsidRPr="0023592A">
              <w:rPr>
                <w:szCs w:val="22"/>
              </w:rPr>
              <w:t>each others</w:t>
            </w:r>
            <w:proofErr w:type="spellEnd"/>
            <w:r w:rsidRPr="0023592A">
              <w:rPr>
                <w:szCs w:val="22"/>
              </w:rPr>
              <w:t xml:space="preserve"> work</w:t>
            </w:r>
          </w:p>
        </w:tc>
      </w:tr>
      <w:tr w:rsidR="00CB607A" w:rsidRPr="00CB607A" w14:paraId="70C941B1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06E861D4" w14:textId="77777777" w:rsidR="00CB607A" w:rsidRPr="00413080" w:rsidRDefault="00CB607A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1BFDC05C" w14:textId="77777777" w:rsidR="00CB607A" w:rsidRPr="0023592A" w:rsidRDefault="00CB607A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23592A">
              <w:rPr>
                <w:rFonts w:cs="Arial"/>
                <w:bCs/>
                <w:szCs w:val="22"/>
              </w:rPr>
              <w:t>Encourage peer development and growth through dedicated group learning</w:t>
            </w:r>
          </w:p>
        </w:tc>
      </w:tr>
      <w:tr w:rsidR="00B77BB1" w:rsidRPr="001D7880" w14:paraId="50A51BD0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EA0CF2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Knowledge and Skills</w:t>
            </w:r>
          </w:p>
          <w:p w14:paraId="74FFA49C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5AE8E4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Relevant degree (or equivalent experience)</w:t>
            </w:r>
          </w:p>
        </w:tc>
      </w:tr>
      <w:tr w:rsidR="00B77BB1" w:rsidRPr="001D7880" w14:paraId="5BE20EBC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6928E21C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60774D6C" w14:textId="77777777" w:rsidR="00B77BB1" w:rsidRPr="0023592A" w:rsidRDefault="00330D78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Advanced r</w:t>
            </w:r>
            <w:r w:rsidR="00B77BB1" w:rsidRPr="0023592A">
              <w:rPr>
                <w:rFonts w:cs="Arial"/>
                <w:szCs w:val="22"/>
              </w:rPr>
              <w:t>elevant professional qualification (or equivalent experience) with clearly evidenced continuous professional development and understanding of industry best practice and broader commercial awareness</w:t>
            </w:r>
          </w:p>
        </w:tc>
      </w:tr>
      <w:tr w:rsidR="00B77BB1" w:rsidRPr="001D7880" w14:paraId="7A40103C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0A5C2EB9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0D791C51" w14:textId="77777777" w:rsidR="00B77BB1" w:rsidRPr="0023592A" w:rsidRDefault="00330D78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 xml:space="preserve">Deep, specialised knowledge and skills across a range of sectors/service areas (including legal and regulatory requirements and the risks of </w:t>
            </w:r>
            <w:proofErr w:type="spellStart"/>
            <w:proofErr w:type="gramStart"/>
            <w:r w:rsidRPr="0023592A">
              <w:rPr>
                <w:rFonts w:cs="Arial"/>
                <w:szCs w:val="22"/>
              </w:rPr>
              <w:t>non compliance</w:t>
            </w:r>
            <w:proofErr w:type="spellEnd"/>
            <w:proofErr w:type="gramEnd"/>
            <w:r w:rsidRPr="0023592A">
              <w:rPr>
                <w:rFonts w:cs="Arial"/>
                <w:szCs w:val="22"/>
              </w:rPr>
              <w:t>) gained through extensive experience in several complex and demanding roles, including broader commercial awareness</w:t>
            </w:r>
          </w:p>
        </w:tc>
      </w:tr>
      <w:tr w:rsidR="00B77BB1" w:rsidRPr="001D7880" w14:paraId="3F268634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06BBD293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6E89FFC8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 xml:space="preserve">Manage budgets, resources and funding within the context of Local Government and the </w:t>
            </w:r>
            <w:proofErr w:type="gramStart"/>
            <w:r w:rsidRPr="0023592A">
              <w:rPr>
                <w:rFonts w:cs="Arial"/>
                <w:szCs w:val="22"/>
              </w:rPr>
              <w:t>future plans</w:t>
            </w:r>
            <w:proofErr w:type="gramEnd"/>
            <w:r w:rsidRPr="0023592A">
              <w:rPr>
                <w:rFonts w:cs="Arial"/>
                <w:szCs w:val="22"/>
              </w:rPr>
              <w:t xml:space="preserve"> of the council</w:t>
            </w:r>
          </w:p>
        </w:tc>
      </w:tr>
      <w:tr w:rsidR="00B77BB1" w:rsidRPr="001D7880" w14:paraId="256C7015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43F75E1E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03E28DF4" w14:textId="77777777" w:rsidR="00B77BB1" w:rsidRPr="0023592A" w:rsidRDefault="000025A9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Thorough knowledge of project management gained through extensive experience</w:t>
            </w:r>
          </w:p>
        </w:tc>
      </w:tr>
      <w:tr w:rsidR="00B77BB1" w:rsidRPr="001D7880" w14:paraId="1CE699E8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4C149013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4BE7F674" w14:textId="77777777" w:rsidR="00B77BB1" w:rsidRPr="0023592A" w:rsidRDefault="000025A9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Thorough knowledge of effective change and stakeholder management principles gained through extensive experience</w:t>
            </w:r>
          </w:p>
        </w:tc>
      </w:tr>
      <w:tr w:rsidR="00B77BB1" w:rsidRPr="001D7880" w14:paraId="398F054D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AB23FC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Creativity and Innovation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90580F" w14:textId="77777777" w:rsidR="00B77BB1" w:rsidRPr="0023592A" w:rsidRDefault="00CB607A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Lead on the strategic direction of the service by developing and implementing strategic business plans</w:t>
            </w:r>
            <w:r w:rsidRPr="0023592A">
              <w:rPr>
                <w:rFonts w:cs="Arial"/>
                <w:bCs/>
                <w:szCs w:val="22"/>
              </w:rPr>
              <w:t xml:space="preserve"> according to the priorities, values and </w:t>
            </w:r>
            <w:proofErr w:type="gramStart"/>
            <w:r w:rsidRPr="0023592A">
              <w:rPr>
                <w:rFonts w:cs="Arial"/>
                <w:bCs/>
                <w:szCs w:val="22"/>
              </w:rPr>
              <w:t>future plans</w:t>
            </w:r>
            <w:proofErr w:type="gramEnd"/>
            <w:r w:rsidRPr="0023592A">
              <w:rPr>
                <w:rFonts w:cs="Arial"/>
                <w:bCs/>
                <w:szCs w:val="22"/>
              </w:rPr>
              <w:t xml:space="preserve"> of the council</w:t>
            </w:r>
          </w:p>
        </w:tc>
      </w:tr>
      <w:tr w:rsidR="00B77BB1" w:rsidRPr="001D7880" w14:paraId="63C6419A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3ECB2A3F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13209379" w14:textId="77777777" w:rsidR="00B77BB1" w:rsidRPr="0023592A" w:rsidRDefault="00CB607A" w:rsidP="009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Anticipate opportunities and create freedom to innovate, in relation to business as usual and new commercial opportunities</w:t>
            </w:r>
          </w:p>
        </w:tc>
      </w:tr>
      <w:tr w:rsidR="00B77BB1" w:rsidRPr="001D7880" w14:paraId="0F51BFC3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47CF9713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01E37D7C" w14:textId="77777777" w:rsidR="00B77BB1" w:rsidRPr="0023592A" w:rsidRDefault="00B77BB1" w:rsidP="009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Develop effective and lasting solutions to problems which align with the council values and where there are a range of options and the information is unclear or conflicting</w:t>
            </w:r>
          </w:p>
        </w:tc>
      </w:tr>
      <w:tr w:rsidR="00B77BB1" w:rsidRPr="001D7880" w14:paraId="04FE620B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4E365AC8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Relationships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6458B51" w14:textId="77777777" w:rsidR="00B77BB1" w:rsidRPr="0023592A" w:rsidRDefault="00081290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Represent and promote the service, providing specialist input and handling complex questions or contentious objections</w:t>
            </w:r>
          </w:p>
        </w:tc>
      </w:tr>
      <w:tr w:rsidR="00B77BB1" w:rsidRPr="001D7880" w14:paraId="59F121F5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2E03FBA4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69D98C88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 xml:space="preserve">Build and present a case, influencing and engaging with stakeholders who may have differing opinions </w:t>
            </w:r>
          </w:p>
        </w:tc>
      </w:tr>
      <w:tr w:rsidR="00B77BB1" w:rsidRPr="001D7880" w14:paraId="6699B4D3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12B0AB11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1E9F76B5" w14:textId="77777777" w:rsidR="00B77BB1" w:rsidRPr="0023592A" w:rsidRDefault="00B77BB1" w:rsidP="009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Seek and develop partnerships at a high level and externally, to achieve collective objectives and help to overcome any barriers to joint working</w:t>
            </w:r>
          </w:p>
        </w:tc>
      </w:tr>
      <w:tr w:rsidR="00B77BB1" w:rsidRPr="001D7880" w14:paraId="5F93D37C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31BAEFE6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6B921DF3" w14:textId="77777777" w:rsidR="00B77BB1" w:rsidRPr="0023592A" w:rsidRDefault="00B77BB1" w:rsidP="009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Open and transparent approach to leadership, using any negative feedback as an opportunity to improve</w:t>
            </w:r>
          </w:p>
        </w:tc>
      </w:tr>
      <w:tr w:rsidR="000025A9" w:rsidRPr="001D7880" w14:paraId="3C604E6C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45251E94" w14:textId="77777777" w:rsidR="000025A9" w:rsidRPr="00413080" w:rsidRDefault="000025A9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3C12E823" w14:textId="77777777" w:rsidR="000025A9" w:rsidRPr="0023592A" w:rsidRDefault="009E2ACF" w:rsidP="009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bCs/>
                <w:szCs w:val="22"/>
              </w:rPr>
              <w:t>Lead on the resolution of contentious, complex or escalated issues in a highly persuasive, supportive and sensitive way</w:t>
            </w:r>
          </w:p>
        </w:tc>
      </w:tr>
      <w:tr w:rsidR="00C17AB1" w:rsidRPr="001D7880" w14:paraId="6E643D4D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55AD588E" w14:textId="77777777" w:rsidR="00C17AB1" w:rsidRPr="00413080" w:rsidRDefault="00C17A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762B18D3" w14:textId="77777777" w:rsidR="00C17AB1" w:rsidRPr="0023592A" w:rsidRDefault="009E2ACF" w:rsidP="009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  <w:r w:rsidRPr="0023592A">
              <w:rPr>
                <w:rFonts w:cs="Arial"/>
                <w:bCs/>
                <w:szCs w:val="22"/>
              </w:rPr>
              <w:t xml:space="preserve">May </w:t>
            </w:r>
            <w:proofErr w:type="gramStart"/>
            <w:r w:rsidRPr="0023592A">
              <w:rPr>
                <w:rFonts w:cs="Arial"/>
                <w:bCs/>
                <w:szCs w:val="22"/>
              </w:rPr>
              <w:t>enter into</w:t>
            </w:r>
            <w:proofErr w:type="gramEnd"/>
            <w:r w:rsidRPr="0023592A">
              <w:rPr>
                <w:rFonts w:cs="Arial"/>
                <w:bCs/>
                <w:szCs w:val="22"/>
              </w:rPr>
              <w:t xml:space="preserve"> negotiations and act on behalf of the Council</w:t>
            </w:r>
          </w:p>
        </w:tc>
      </w:tr>
      <w:tr w:rsidR="00CB607A" w:rsidRPr="001D7880" w14:paraId="3467E463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single" w:sz="4" w:space="0" w:color="auto"/>
            </w:tcBorders>
          </w:tcPr>
          <w:p w14:paraId="1690AD7C" w14:textId="77777777" w:rsidR="00CB607A" w:rsidRPr="00413080" w:rsidRDefault="00CB607A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475C20EC" w14:textId="77777777" w:rsidR="00CB607A" w:rsidRPr="0023592A" w:rsidRDefault="00CB607A" w:rsidP="009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  <w:r w:rsidRPr="0023592A">
              <w:rPr>
                <w:szCs w:val="22"/>
              </w:rPr>
              <w:t>Regularly review partnership arrangements to ensure overall customer journey is prioritised over short term or individual team benefits</w:t>
            </w:r>
          </w:p>
        </w:tc>
      </w:tr>
      <w:tr w:rsidR="00B77BB1" w:rsidRPr="001D7880" w14:paraId="42C1DC25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B17DF6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Decision making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3A1199" w14:textId="77777777" w:rsidR="00B77BB1" w:rsidRPr="0023592A" w:rsidRDefault="00361AEC" w:rsidP="009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23592A">
              <w:rPr>
                <w:rFonts w:cs="Arial"/>
                <w:szCs w:val="22"/>
              </w:rPr>
              <w:t>Accountable for the delivery and performance of a service and any major impacts or consequences on the wider service</w:t>
            </w:r>
          </w:p>
        </w:tc>
      </w:tr>
      <w:tr w:rsidR="00B77BB1" w:rsidRPr="001D7880" w14:paraId="0359E004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22274ECF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59072D18" w14:textId="77777777" w:rsidR="00B77BB1" w:rsidRPr="0023592A" w:rsidRDefault="00C17AB1" w:rsidP="000025A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Initiate, l</w:t>
            </w:r>
            <w:r w:rsidR="000025A9" w:rsidRPr="0023592A">
              <w:rPr>
                <w:rFonts w:cs="Arial"/>
                <w:szCs w:val="22"/>
              </w:rPr>
              <w:t>ead and o</w:t>
            </w:r>
            <w:r w:rsidR="00B77BB1" w:rsidRPr="0023592A">
              <w:rPr>
                <w:rFonts w:cs="Arial"/>
                <w:szCs w:val="22"/>
              </w:rPr>
              <w:t xml:space="preserve">versee </w:t>
            </w:r>
            <w:proofErr w:type="gramStart"/>
            <w:r w:rsidR="00B77BB1" w:rsidRPr="0023592A">
              <w:rPr>
                <w:rFonts w:cs="Arial"/>
                <w:szCs w:val="22"/>
              </w:rPr>
              <w:t xml:space="preserve">a </w:t>
            </w:r>
            <w:r w:rsidR="00330D78" w:rsidRPr="0023592A">
              <w:rPr>
                <w:rFonts w:cs="Arial"/>
                <w:szCs w:val="22"/>
              </w:rPr>
              <w:t xml:space="preserve">large </w:t>
            </w:r>
            <w:r w:rsidR="00B77BB1" w:rsidRPr="0023592A">
              <w:rPr>
                <w:rFonts w:cs="Arial"/>
                <w:szCs w:val="22"/>
              </w:rPr>
              <w:t>number of</w:t>
            </w:r>
            <w:proofErr w:type="gramEnd"/>
            <w:r w:rsidR="00B77BB1" w:rsidRPr="0023592A">
              <w:rPr>
                <w:rFonts w:cs="Arial"/>
                <w:szCs w:val="22"/>
              </w:rPr>
              <w:t xml:space="preserve"> projects to ensure each project has clear purpose, scope, outcomes and communication, and is managed and delivered to time and budget </w:t>
            </w:r>
          </w:p>
        </w:tc>
      </w:tr>
      <w:tr w:rsidR="00B77BB1" w:rsidRPr="001D7880" w14:paraId="0D3474C0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29F3BB51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0665DF4E" w14:textId="77777777" w:rsidR="00B77BB1" w:rsidRPr="0023592A" w:rsidRDefault="00B77BB1" w:rsidP="009258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>Manage and use allocated budget and resource effectively and flexibly to ensure delivery of service objectives within budget and suggest any opportunities to generate income</w:t>
            </w:r>
          </w:p>
        </w:tc>
      </w:tr>
      <w:tr w:rsidR="00CB607A" w:rsidRPr="001D7880" w14:paraId="6B680360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306FB32E" w14:textId="77777777" w:rsidR="00CB607A" w:rsidRPr="00413080" w:rsidRDefault="00CB607A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4839C5D9" w14:textId="77777777" w:rsidR="00CB607A" w:rsidRPr="0023592A" w:rsidRDefault="00CB607A" w:rsidP="009258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szCs w:val="22"/>
              </w:rPr>
              <w:t>Make evidence based and outcome focussed decisions that will have a major impact on council policy and activity, using proactive risk management to ensure the quality of the service is maintained</w:t>
            </w:r>
          </w:p>
        </w:tc>
      </w:tr>
      <w:tr w:rsidR="00B77BB1" w:rsidRPr="001D7880" w14:paraId="20A08F29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10566926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0C803D" w14:textId="77777777" w:rsidR="00B77BB1" w:rsidRPr="0023592A" w:rsidRDefault="00CB607A" w:rsidP="009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szCs w:val="22"/>
              </w:rPr>
              <w:t>When faced with challenge or resistance, make decisions based on what’s right, even if detrimental to self or own service</w:t>
            </w:r>
          </w:p>
        </w:tc>
      </w:tr>
      <w:tr w:rsidR="00B77BB1" w:rsidRPr="001D7880" w14:paraId="29037009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A0DA0E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Work Demands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DA33D7" w14:textId="77777777" w:rsidR="00B77BB1" w:rsidRPr="0023592A" w:rsidRDefault="00C17AB1" w:rsidP="009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23592A">
              <w:rPr>
                <w:rFonts w:cs="Arial"/>
                <w:szCs w:val="22"/>
              </w:rPr>
              <w:t xml:space="preserve">Lead, plan and organise the activities of others, considering both </w:t>
            </w:r>
            <w:proofErr w:type="gramStart"/>
            <w:r w:rsidRPr="0023592A">
              <w:rPr>
                <w:rFonts w:cs="Arial"/>
                <w:szCs w:val="22"/>
              </w:rPr>
              <w:t>short and long term</w:t>
            </w:r>
            <w:proofErr w:type="gramEnd"/>
            <w:r w:rsidRPr="0023592A">
              <w:rPr>
                <w:rFonts w:cs="Arial"/>
                <w:szCs w:val="22"/>
              </w:rPr>
              <w:t xml:space="preserve"> implications and while adapting to changing circumstances and conflicting priorities or deadlines to ensure service unit strategic direction is supported</w:t>
            </w:r>
          </w:p>
        </w:tc>
      </w:tr>
      <w:tr w:rsidR="00CB607A" w:rsidRPr="001D7880" w14:paraId="516F399E" w14:textId="77777777" w:rsidTr="4B4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03EDD434" w14:textId="77777777" w:rsidR="00CB607A" w:rsidRPr="00413080" w:rsidRDefault="00CB607A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F27494" w14:textId="77777777" w:rsidR="00CB607A" w:rsidRPr="0023592A" w:rsidRDefault="00CB607A" w:rsidP="009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23592A">
              <w:rPr>
                <w:szCs w:val="22"/>
              </w:rPr>
              <w:t>Set clear and realistic objectives ensuring they fit with the corporate purpose; monitor progress against objectives and provide feedback</w:t>
            </w:r>
          </w:p>
        </w:tc>
      </w:tr>
      <w:tr w:rsidR="00B77BB1" w:rsidRPr="001D7880" w14:paraId="64E9C38B" w14:textId="77777777" w:rsidTr="4B416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</w:tcPr>
          <w:p w14:paraId="330232CC" w14:textId="77777777" w:rsidR="00B77BB1" w:rsidRPr="00413080" w:rsidRDefault="00B77BB1" w:rsidP="00413080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639220" w14:textId="77777777" w:rsidR="00B77BB1" w:rsidRPr="0023592A" w:rsidRDefault="00CB607A" w:rsidP="009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23592A">
              <w:rPr>
                <w:szCs w:val="22"/>
              </w:rPr>
              <w:t>Share work, liabilities and benefits equally</w:t>
            </w:r>
          </w:p>
        </w:tc>
      </w:tr>
    </w:tbl>
    <w:p w14:paraId="76FF9751" w14:textId="77777777" w:rsidR="00942969" w:rsidRPr="002A3B04" w:rsidRDefault="00942969" w:rsidP="003151F5">
      <w:pPr>
        <w:tabs>
          <w:tab w:val="left" w:pos="3525"/>
        </w:tabs>
        <w:rPr>
          <w:sz w:val="28"/>
          <w:szCs w:val="28"/>
        </w:rPr>
      </w:pPr>
    </w:p>
    <w:sectPr w:rsidR="00942969" w:rsidRPr="002A3B04" w:rsidSect="005925D3">
      <w:footerReference w:type="default" r:id="rId10"/>
      <w:pgSz w:w="11907" w:h="16839" w:code="9"/>
      <w:pgMar w:top="720" w:right="720" w:bottom="45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E7C1" w14:textId="77777777" w:rsidR="005F51D6" w:rsidRDefault="005F51D6" w:rsidP="00C46046">
      <w:r>
        <w:separator/>
      </w:r>
    </w:p>
  </w:endnote>
  <w:endnote w:type="continuationSeparator" w:id="0">
    <w:p w14:paraId="49D33644" w14:textId="77777777" w:rsidR="005F51D6" w:rsidRDefault="005F51D6" w:rsidP="00C4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7CB" w14:textId="77777777" w:rsidR="00C46046" w:rsidRDefault="00C46046">
    <w:pPr>
      <w:pStyle w:val="Footer"/>
    </w:pPr>
  </w:p>
  <w:p w14:paraId="3E9CFB00" w14:textId="01458657" w:rsidR="00C46046" w:rsidRPr="00C46046" w:rsidRDefault="00C46046" w:rsidP="00C46046">
    <w:pPr>
      <w:pStyle w:val="Footer"/>
      <w:jc w:val="right"/>
      <w:rPr>
        <w:sz w:val="16"/>
        <w:szCs w:val="16"/>
      </w:rPr>
    </w:pPr>
    <w:r w:rsidRPr="00C46046">
      <w:rPr>
        <w:sz w:val="16"/>
        <w:szCs w:val="16"/>
      </w:rPr>
      <w:t xml:space="preserve">Version </w:t>
    </w:r>
    <w:r w:rsidR="00D02367">
      <w:rPr>
        <w:sz w:val="16"/>
        <w:szCs w:val="16"/>
      </w:rPr>
      <w:t>2</w:t>
    </w:r>
    <w:r w:rsidRPr="00C46046">
      <w:rPr>
        <w:sz w:val="16"/>
        <w:szCs w:val="16"/>
      </w:rPr>
      <w:t xml:space="preserve"> – </w:t>
    </w:r>
    <w:r w:rsidR="00D02367">
      <w:rPr>
        <w:sz w:val="16"/>
        <w:szCs w:val="16"/>
      </w:rPr>
      <w:t>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11F8" w14:textId="77777777" w:rsidR="005F51D6" w:rsidRDefault="005F51D6" w:rsidP="00C46046">
      <w:r>
        <w:separator/>
      </w:r>
    </w:p>
  </w:footnote>
  <w:footnote w:type="continuationSeparator" w:id="0">
    <w:p w14:paraId="12F9688B" w14:textId="77777777" w:rsidR="005F51D6" w:rsidRDefault="005F51D6" w:rsidP="00C4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51520">
    <w:abstractNumId w:val="0"/>
  </w:num>
  <w:num w:numId="2" w16cid:durableId="1562595710">
    <w:abstractNumId w:val="1"/>
  </w:num>
  <w:num w:numId="3" w16cid:durableId="143585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25A9"/>
    <w:rsid w:val="00024D04"/>
    <w:rsid w:val="00057D26"/>
    <w:rsid w:val="00081290"/>
    <w:rsid w:val="0008258F"/>
    <w:rsid w:val="0009728B"/>
    <w:rsid w:val="000C5C3F"/>
    <w:rsid w:val="001640C4"/>
    <w:rsid w:val="00181590"/>
    <w:rsid w:val="00220CD0"/>
    <w:rsid w:val="00221B0E"/>
    <w:rsid w:val="0023592A"/>
    <w:rsid w:val="002545FB"/>
    <w:rsid w:val="002A3B04"/>
    <w:rsid w:val="002C732A"/>
    <w:rsid w:val="003151F5"/>
    <w:rsid w:val="00330D78"/>
    <w:rsid w:val="00361AEC"/>
    <w:rsid w:val="003673B6"/>
    <w:rsid w:val="00371CD4"/>
    <w:rsid w:val="00413080"/>
    <w:rsid w:val="00472E55"/>
    <w:rsid w:val="005214F3"/>
    <w:rsid w:val="005404CD"/>
    <w:rsid w:val="00587FAB"/>
    <w:rsid w:val="005925D3"/>
    <w:rsid w:val="005D7ACE"/>
    <w:rsid w:val="005F51D6"/>
    <w:rsid w:val="006947B6"/>
    <w:rsid w:val="006F0FB7"/>
    <w:rsid w:val="0071002E"/>
    <w:rsid w:val="008A4CDF"/>
    <w:rsid w:val="00942969"/>
    <w:rsid w:val="009B0FA9"/>
    <w:rsid w:val="009B57CB"/>
    <w:rsid w:val="009E2ACF"/>
    <w:rsid w:val="009F2B5B"/>
    <w:rsid w:val="00A92CCA"/>
    <w:rsid w:val="00A979E7"/>
    <w:rsid w:val="00B22BC5"/>
    <w:rsid w:val="00B43DAE"/>
    <w:rsid w:val="00B77BB1"/>
    <w:rsid w:val="00BA09B0"/>
    <w:rsid w:val="00C17AB1"/>
    <w:rsid w:val="00C26D71"/>
    <w:rsid w:val="00C46046"/>
    <w:rsid w:val="00CA2A5C"/>
    <w:rsid w:val="00CB3942"/>
    <w:rsid w:val="00CB607A"/>
    <w:rsid w:val="00D02367"/>
    <w:rsid w:val="00D1758D"/>
    <w:rsid w:val="00D31BF6"/>
    <w:rsid w:val="00D874BC"/>
    <w:rsid w:val="00D92867"/>
    <w:rsid w:val="00DF2E4C"/>
    <w:rsid w:val="00E40F28"/>
    <w:rsid w:val="00FE0259"/>
    <w:rsid w:val="3BF10A61"/>
    <w:rsid w:val="3FF927F1"/>
    <w:rsid w:val="4B416C59"/>
    <w:rsid w:val="64E4E565"/>
    <w:rsid w:val="6A68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0372"/>
  <w15:docId w15:val="{D2FB1486-99F7-4C8E-9214-CC831AC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4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table" w:styleId="MediumList2-Accent1">
    <w:name w:val="Medium List 2 Accent 1"/>
    <w:basedOn w:val="MediumShading1-Accent1"/>
    <w:uiPriority w:val="66"/>
    <w:rsid w:val="00BA09B0"/>
    <w:rPr>
      <w:rFonts w:eastAsiaTheme="majorEastAsia" w:cstheme="majorBidi"/>
      <w:color w:val="000000" w:themeColor="text1"/>
      <w:sz w:val="22"/>
      <w:szCs w:val="20"/>
      <w:lang w:eastAsia="en-GB"/>
    </w:rPr>
    <w:tblPr>
      <w:tblBorders>
        <w:top w:val="single" w:sz="8" w:space="0" w:color="A5A5A5" w:themeColor="accent1"/>
        <w:left w:val="single" w:sz="8" w:space="0" w:color="A5A5A5" w:themeColor="accent1"/>
        <w:bottom w:val="single" w:sz="8" w:space="0" w:color="A5A5A5" w:themeColor="accent1"/>
        <w:right w:val="single" w:sz="8" w:space="0" w:color="A5A5A5" w:themeColor="accent1"/>
        <w:insideH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8" w:space="0" w:color="A5A5A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single" w:sz="8" w:space="0" w:color="A5A5A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BA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5925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1" w:themeTint="BF"/>
        <w:left w:val="single" w:sz="8" w:space="0" w:color="BBBBBB" w:themeColor="accent1" w:themeTint="BF"/>
        <w:bottom w:val="single" w:sz="8" w:space="0" w:color="BBBBBB" w:themeColor="accent1" w:themeTint="BF"/>
        <w:right w:val="single" w:sz="8" w:space="0" w:color="BBBBBB" w:themeColor="accent1" w:themeTint="BF"/>
        <w:insideH w:val="single" w:sz="8" w:space="0" w:color="BBBB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1" w:themeTint="BF"/>
          <w:left w:val="single" w:sz="8" w:space="0" w:color="BBBBBB" w:themeColor="accent1" w:themeTint="BF"/>
          <w:bottom w:val="single" w:sz="8" w:space="0" w:color="BBBBBB" w:themeColor="accent1" w:themeTint="BF"/>
          <w:right w:val="single" w:sz="8" w:space="0" w:color="BBBBBB" w:themeColor="accent1" w:themeTint="BF"/>
          <w:insideH w:val="nil"/>
          <w:insideV w:val="nil"/>
        </w:tcBorders>
        <w:shd w:val="clear" w:color="auto" w:fill="A5A5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1" w:themeTint="BF"/>
          <w:left w:val="single" w:sz="8" w:space="0" w:color="BBBBBB" w:themeColor="accent1" w:themeTint="BF"/>
          <w:bottom w:val="single" w:sz="8" w:space="0" w:color="BBBBBB" w:themeColor="accent1" w:themeTint="BF"/>
          <w:right w:val="single" w:sz="8" w:space="0" w:color="BBBB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6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046"/>
  </w:style>
  <w:style w:type="paragraph" w:styleId="Footer">
    <w:name w:val="footer"/>
    <w:basedOn w:val="Normal"/>
    <w:link w:val="FooterChar"/>
    <w:uiPriority w:val="99"/>
    <w:unhideWhenUsed/>
    <w:rsid w:val="00C46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D8D8D8"/>
      </a:lt2>
      <a:accent1>
        <a:srgbClr val="A5A5A5"/>
      </a:accent1>
      <a:accent2>
        <a:srgbClr val="56C5D0"/>
      </a:accent2>
      <a:accent3>
        <a:srgbClr val="FFDD00"/>
      </a:accent3>
      <a:accent4>
        <a:srgbClr val="00A0AF"/>
      </a:accent4>
      <a:accent5>
        <a:srgbClr val="83B341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B9831131FAB40A516D73295485BB3" ma:contentTypeVersion="3" ma:contentTypeDescription="Create a new document." ma:contentTypeScope="" ma:versionID="1b52e4287b4f0b293eeebdcaa86ddb1d">
  <xsd:schema xmlns:xsd="http://www.w3.org/2001/XMLSchema" xmlns:xs="http://www.w3.org/2001/XMLSchema" xmlns:p="http://schemas.microsoft.com/office/2006/metadata/properties" xmlns:ns2="7332a4f7-d3a1-4c8a-86d4-cb0cd1d2f550" targetNamespace="http://schemas.microsoft.com/office/2006/metadata/properties" ma:root="true" ma:fieldsID="036dc707f206702e2033069f598b1217" ns2:_="">
    <xsd:import namespace="7332a4f7-d3a1-4c8a-86d4-cb0cd1d2f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a4f7-d3a1-4c8a-86d4-cb0cd1d2f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AC432-C3B1-4413-90C5-EE2F771817B6}">
  <ds:schemaRefs>
    <ds:schemaRef ds:uri="http://schemas.microsoft.com/office/2006/metadata/properties"/>
    <ds:schemaRef ds:uri="http://schemas.microsoft.com/office/infopath/2007/PartnerControls"/>
    <ds:schemaRef ds:uri="b9ad74c2-b99b-4838-b1ca-22dd9067b100"/>
    <ds:schemaRef ds:uri="496389df-7c0f-4d87-80a3-ab5d257a0d74"/>
  </ds:schemaRefs>
</ds:datastoreItem>
</file>

<file path=customXml/itemProps2.xml><?xml version="1.0" encoding="utf-8"?>
<ds:datastoreItem xmlns:ds="http://schemas.openxmlformats.org/officeDocument/2006/customXml" ds:itemID="{6784F271-04F4-43D1-ACFF-553189693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ECC1C-3FB2-4220-8B68-95DABE80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2a4f7-d3a1-4c8a-86d4-cb0cd1d2f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Company>Borough of Poole Council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Amy Lloyd</cp:lastModifiedBy>
  <cp:revision>2</cp:revision>
  <cp:lastPrinted>2017-08-15T11:02:00Z</cp:lastPrinted>
  <dcterms:created xsi:type="dcterms:W3CDTF">2025-07-16T13:09:00Z</dcterms:created>
  <dcterms:modified xsi:type="dcterms:W3CDTF">2025-07-16T13:09:00Z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0x010100B25B9831131FAB40A516D73295485BB3</vt:lpwstr>
  </property>
  <property fmtid="{D5CDD505-2E9C-101B-9397-08002B2CF9AE}" pid="3" name="Policy / Guidance">
    <vt:lpwstr>Guidance</vt:lpwstr>
  </property>
  <property fmtid="{D5CDD505-2E9C-101B-9397-08002B2CF9AE}" pid="4" name="Order">
    <vt:r8>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