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984D" w14:textId="56B51006" w:rsidR="002728D9" w:rsidRPr="00276646" w:rsidRDefault="002728D9" w:rsidP="002728D9">
      <w:r w:rsidRPr="00276646">
        <w:rPr>
          <w:b/>
          <w:bCs/>
        </w:rPr>
        <w:t>Role Profile Addendum</w:t>
      </w:r>
      <w:r w:rsidR="008F6E57" w:rsidRPr="00276646">
        <w:t xml:space="preserve"> </w:t>
      </w:r>
    </w:p>
    <w:p w14:paraId="77429D9B" w14:textId="77777777" w:rsidR="002728D9" w:rsidRPr="00276646" w:rsidRDefault="002728D9" w:rsidP="002728D9">
      <w:r w:rsidRPr="00276646">
        <w:rPr>
          <w:b/>
          <w:bCs/>
        </w:rPr>
        <w:t>(to be completed for generic role profiles, mapped to multiple positions)</w:t>
      </w:r>
      <w:r w:rsidRPr="00276646">
        <w:t>   </w:t>
      </w:r>
    </w:p>
    <w:p w14:paraId="4CF360B6" w14:textId="3111E9A8" w:rsidR="002728D9" w:rsidRPr="00276646" w:rsidRDefault="002728D9" w:rsidP="002728D9">
      <w:r w:rsidRPr="00276646">
        <w:t> Please provide details specific to this position. While this information will not be used for job evaluation purposes, it will support processes such as recruitment and selection, salary supplements, performance management, and other relevant business processes. </w:t>
      </w:r>
    </w:p>
    <w:tbl>
      <w:tblPr>
        <w:tblW w:w="9073" w:type="dxa"/>
        <w:tblInd w:w="-151" w:type="dxa"/>
        <w:tblCellMar>
          <w:left w:w="100" w:type="dxa"/>
          <w:right w:w="100" w:type="dxa"/>
        </w:tblCellMar>
        <w:tblLook w:val="04A0" w:firstRow="1" w:lastRow="0" w:firstColumn="1" w:lastColumn="0" w:noHBand="0" w:noVBand="1"/>
      </w:tblPr>
      <w:tblGrid>
        <w:gridCol w:w="2769"/>
        <w:gridCol w:w="6304"/>
      </w:tblGrid>
      <w:tr w:rsidR="0004713B" w:rsidRPr="00276646" w14:paraId="0DCA0E9C" w14:textId="77777777" w:rsidTr="78897294">
        <w:trPr>
          <w:trHeight w:val="464"/>
        </w:trPr>
        <w:tc>
          <w:tcPr>
            <w:tcW w:w="2769" w:type="dxa"/>
            <w:tcBorders>
              <w:top w:val="single" w:sz="7" w:space="0" w:color="auto"/>
              <w:left w:val="single" w:sz="7" w:space="0" w:color="auto"/>
              <w:bottom w:val="single" w:sz="7" w:space="0" w:color="FFFFFF" w:themeColor="background1"/>
              <w:right w:val="single" w:sz="3" w:space="0" w:color="auto"/>
            </w:tcBorders>
            <w:shd w:val="clear" w:color="auto" w:fill="00B050"/>
            <w:vAlign w:val="center"/>
            <w:hideMark/>
          </w:tcPr>
          <w:p w14:paraId="071A21CE" w14:textId="66B06B44" w:rsidR="0004713B" w:rsidRPr="00CC53CF" w:rsidRDefault="0004713B" w:rsidP="00CC53CF">
            <w:pPr>
              <w:spacing w:after="0" w:line="240" w:lineRule="auto"/>
              <w:rPr>
                <w:rFonts w:eastAsia="Times New Roman"/>
                <w:b/>
                <w:bCs/>
                <w:color w:val="FFFFFF"/>
                <w:kern w:val="0"/>
                <w:sz w:val="20"/>
                <w:szCs w:val="20"/>
                <w:lang w:eastAsia="en-GB"/>
                <w14:ligatures w14:val="none"/>
              </w:rPr>
            </w:pPr>
            <w:r w:rsidRPr="00CC53CF">
              <w:rPr>
                <w:rFonts w:eastAsia="Times New Roman"/>
                <w:b/>
                <w:bCs/>
                <w:color w:val="FFFFFF"/>
                <w:kern w:val="0"/>
                <w:sz w:val="20"/>
                <w:szCs w:val="20"/>
                <w:lang w:eastAsia="en-GB"/>
                <w14:ligatures w14:val="none"/>
              </w:rPr>
              <w:t>Job Title:</w:t>
            </w:r>
          </w:p>
        </w:tc>
        <w:tc>
          <w:tcPr>
            <w:tcW w:w="6304" w:type="dxa"/>
            <w:tcBorders>
              <w:top w:val="single" w:sz="7" w:space="0" w:color="auto"/>
              <w:left w:val="nil"/>
              <w:bottom w:val="single" w:sz="3" w:space="0" w:color="auto"/>
              <w:right w:val="single" w:sz="7" w:space="0" w:color="auto"/>
            </w:tcBorders>
            <w:vAlign w:val="center"/>
            <w:hideMark/>
          </w:tcPr>
          <w:p w14:paraId="108FA259" w14:textId="190FFBE7" w:rsidR="0004713B" w:rsidRPr="00CC53CF" w:rsidRDefault="0004713B" w:rsidP="00CC53CF">
            <w:pPr>
              <w:spacing w:after="0" w:line="240" w:lineRule="auto"/>
              <w:rPr>
                <w:rFonts w:eastAsia="Times New Roman"/>
                <w:color w:val="000000"/>
                <w:kern w:val="0"/>
                <w:sz w:val="20"/>
                <w:szCs w:val="20"/>
                <w:lang w:eastAsia="en-GB"/>
                <w14:ligatures w14:val="none"/>
              </w:rPr>
            </w:pPr>
          </w:p>
          <w:p w14:paraId="7153E0E2" w14:textId="5FA5ED01" w:rsidR="0004713B" w:rsidRPr="00CC53CF" w:rsidRDefault="006B4C36" w:rsidP="00CC53CF">
            <w:pPr>
              <w:spacing w:after="0" w:line="240" w:lineRule="auto"/>
              <w:rPr>
                <w:rFonts w:eastAsia="Times New Roman"/>
                <w:color w:val="000000"/>
                <w:kern w:val="0"/>
                <w:sz w:val="20"/>
                <w:szCs w:val="20"/>
                <w:lang w:eastAsia="en-GB"/>
                <w14:ligatures w14:val="none"/>
              </w:rPr>
            </w:pPr>
            <w:r w:rsidRPr="00CC53CF">
              <w:rPr>
                <w:rFonts w:eastAsia="Times New Roman"/>
                <w:color w:val="000000"/>
                <w:sz w:val="20"/>
                <w:szCs w:val="20"/>
                <w:lang w:eastAsia="en-GB"/>
              </w:rPr>
              <w:t>Tenancy Sustainment Officer</w:t>
            </w:r>
          </w:p>
          <w:p w14:paraId="75991BBD" w14:textId="77777777" w:rsidR="0004713B" w:rsidRPr="00CC53CF" w:rsidRDefault="0004713B" w:rsidP="00CC53CF">
            <w:pPr>
              <w:spacing w:after="0" w:line="240" w:lineRule="auto"/>
              <w:rPr>
                <w:rFonts w:eastAsia="Times New Roman"/>
                <w:color w:val="000000"/>
                <w:kern w:val="0"/>
                <w:sz w:val="20"/>
                <w:szCs w:val="20"/>
                <w:lang w:eastAsia="en-GB"/>
                <w14:ligatures w14:val="none"/>
              </w:rPr>
            </w:pPr>
          </w:p>
        </w:tc>
      </w:tr>
      <w:tr w:rsidR="0004713B" w:rsidRPr="00276646" w14:paraId="57ABDC96" w14:textId="77777777" w:rsidTr="78897294">
        <w:trPr>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tcPr>
          <w:p w14:paraId="1B9F2E59" w14:textId="77777777" w:rsidR="0004713B" w:rsidRPr="00CC53CF" w:rsidRDefault="0004713B" w:rsidP="00CC53CF">
            <w:pPr>
              <w:spacing w:after="0" w:line="240" w:lineRule="auto"/>
              <w:rPr>
                <w:rFonts w:eastAsia="Times New Roman"/>
                <w:b/>
                <w:bCs/>
                <w:color w:val="FFFFFF"/>
                <w:kern w:val="0"/>
                <w:sz w:val="20"/>
                <w:szCs w:val="20"/>
                <w:lang w:eastAsia="en-GB"/>
                <w14:ligatures w14:val="none"/>
              </w:rPr>
            </w:pPr>
            <w:r w:rsidRPr="00CC53CF">
              <w:rPr>
                <w:rFonts w:eastAsia="Times New Roman"/>
                <w:b/>
                <w:bCs/>
                <w:color w:val="FFFFFF"/>
                <w:kern w:val="0"/>
                <w:sz w:val="20"/>
                <w:szCs w:val="20"/>
                <w:lang w:eastAsia="en-GB"/>
                <w14:ligatures w14:val="none"/>
              </w:rPr>
              <w:t>Role Profile Reference Number:</w:t>
            </w:r>
          </w:p>
        </w:tc>
        <w:tc>
          <w:tcPr>
            <w:tcW w:w="6304" w:type="dxa"/>
            <w:tcBorders>
              <w:top w:val="single" w:sz="7" w:space="0" w:color="auto"/>
              <w:left w:val="nil"/>
              <w:bottom w:val="single" w:sz="3" w:space="0" w:color="auto"/>
              <w:right w:val="single" w:sz="7" w:space="0" w:color="auto"/>
            </w:tcBorders>
            <w:vAlign w:val="center"/>
          </w:tcPr>
          <w:p w14:paraId="44C1BE3C" w14:textId="7A2E0F29" w:rsidR="0004713B" w:rsidRPr="00CC53CF" w:rsidRDefault="006B4C36" w:rsidP="00CC53CF">
            <w:pPr>
              <w:spacing w:after="0" w:line="240" w:lineRule="auto"/>
              <w:rPr>
                <w:rFonts w:eastAsia="Arial"/>
                <w:kern w:val="0"/>
                <w:sz w:val="20"/>
                <w:szCs w:val="20"/>
                <w14:ligatures w14:val="none"/>
              </w:rPr>
            </w:pPr>
            <w:r w:rsidRPr="00CC53CF">
              <w:rPr>
                <w:rFonts w:eastAsia="Arial"/>
                <w:kern w:val="0"/>
                <w:sz w:val="20"/>
                <w:szCs w:val="20"/>
                <w14:ligatures w14:val="none"/>
              </w:rPr>
              <w:t>HOU002</w:t>
            </w:r>
          </w:p>
        </w:tc>
      </w:tr>
      <w:tr w:rsidR="00104263" w:rsidRPr="00276646" w14:paraId="74DC8504" w14:textId="77777777" w:rsidTr="78897294">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773A49B2" w14:textId="77777777" w:rsidR="00104263" w:rsidRPr="00CC53CF" w:rsidRDefault="00104263" w:rsidP="00CC53CF">
            <w:pPr>
              <w:spacing w:after="0" w:line="240" w:lineRule="auto"/>
              <w:rPr>
                <w:rFonts w:eastAsia="Times New Roman"/>
                <w:b/>
                <w:bCs/>
                <w:color w:val="FFFFFF"/>
                <w:kern w:val="0"/>
                <w:sz w:val="20"/>
                <w:szCs w:val="20"/>
                <w:lang w:eastAsia="en-GB"/>
                <w14:ligatures w14:val="none"/>
              </w:rPr>
            </w:pPr>
            <w:r w:rsidRPr="00CC53CF">
              <w:rPr>
                <w:rFonts w:eastAsia="Times New Roman"/>
                <w:b/>
                <w:bCs/>
                <w:color w:val="FFFFFF"/>
                <w:kern w:val="0"/>
                <w:sz w:val="20"/>
                <w:szCs w:val="20"/>
                <w:lang w:eastAsia="en-GB"/>
                <w14:ligatures w14:val="none"/>
              </w:rPr>
              <w:t>Role Profile Title</w:t>
            </w:r>
          </w:p>
        </w:tc>
        <w:tc>
          <w:tcPr>
            <w:tcW w:w="6304" w:type="dxa"/>
            <w:tcBorders>
              <w:top w:val="nil"/>
              <w:left w:val="nil"/>
              <w:bottom w:val="single" w:sz="3" w:space="0" w:color="auto"/>
              <w:right w:val="single" w:sz="7" w:space="0" w:color="auto"/>
            </w:tcBorders>
            <w:vAlign w:val="center"/>
            <w:hideMark/>
          </w:tcPr>
          <w:p w14:paraId="5FE170C7" w14:textId="77777777" w:rsidR="00CC53CF" w:rsidRPr="00CC53CF" w:rsidRDefault="00CC53CF" w:rsidP="00CC53CF">
            <w:pPr>
              <w:spacing w:after="0" w:line="240" w:lineRule="auto"/>
              <w:rPr>
                <w:rFonts w:eastAsia="Times New Roman"/>
                <w:color w:val="000000"/>
                <w:sz w:val="20"/>
                <w:szCs w:val="20"/>
                <w:lang w:eastAsia="en-GB"/>
              </w:rPr>
            </w:pPr>
          </w:p>
          <w:p w14:paraId="00767106" w14:textId="16A55603" w:rsidR="00CC53CF" w:rsidRPr="00CC53CF" w:rsidRDefault="00CC53CF" w:rsidP="00CC53CF">
            <w:pPr>
              <w:spacing w:after="0" w:line="240" w:lineRule="auto"/>
              <w:rPr>
                <w:rFonts w:eastAsia="Times New Roman"/>
                <w:color w:val="000000"/>
                <w:sz w:val="20"/>
                <w:szCs w:val="20"/>
                <w:lang w:eastAsia="en-GB"/>
              </w:rPr>
            </w:pPr>
            <w:r w:rsidRPr="00CC53CF">
              <w:rPr>
                <w:rFonts w:eastAsia="Times New Roman"/>
                <w:color w:val="000000"/>
                <w:sz w:val="20"/>
                <w:szCs w:val="20"/>
                <w:lang w:eastAsia="en-GB"/>
              </w:rPr>
              <w:t>Housing Options and Solutions Officer II</w:t>
            </w:r>
          </w:p>
          <w:p w14:paraId="122A1E63" w14:textId="1D08CE16" w:rsidR="00104263" w:rsidRPr="00CC53CF" w:rsidRDefault="00104263" w:rsidP="00CC53CF">
            <w:pPr>
              <w:spacing w:after="0"/>
              <w:rPr>
                <w:rFonts w:eastAsia="Times New Roman"/>
                <w:color w:val="000000"/>
                <w:kern w:val="0"/>
                <w:sz w:val="20"/>
                <w:szCs w:val="20"/>
                <w:lang w:eastAsia="en-GB"/>
                <w14:ligatures w14:val="none"/>
              </w:rPr>
            </w:pPr>
          </w:p>
        </w:tc>
      </w:tr>
      <w:tr w:rsidR="00104263" w:rsidRPr="00276646" w14:paraId="318EAAF2" w14:textId="77777777" w:rsidTr="78897294">
        <w:trPr>
          <w:cantSplit/>
          <w:trHeight w:val="464"/>
        </w:trPr>
        <w:tc>
          <w:tcPr>
            <w:tcW w:w="2769" w:type="dxa"/>
            <w:tcBorders>
              <w:top w:val="single" w:sz="7" w:space="0" w:color="FFFFFF" w:themeColor="background1"/>
              <w:left w:val="single" w:sz="7" w:space="0" w:color="auto"/>
              <w:bottom w:val="single" w:sz="7" w:space="0" w:color="FFFFFF" w:themeColor="background1"/>
              <w:right w:val="single" w:sz="3" w:space="0" w:color="auto"/>
            </w:tcBorders>
            <w:shd w:val="clear" w:color="auto" w:fill="00B050"/>
            <w:vAlign w:val="center"/>
            <w:hideMark/>
          </w:tcPr>
          <w:p w14:paraId="4AE7EE7A" w14:textId="77777777" w:rsidR="00104263" w:rsidRPr="00CC53CF" w:rsidRDefault="00104263" w:rsidP="00CC53CF">
            <w:pPr>
              <w:spacing w:after="0" w:line="240" w:lineRule="auto"/>
              <w:rPr>
                <w:rFonts w:eastAsia="Times New Roman"/>
                <w:b/>
                <w:bCs/>
                <w:color w:val="FFFFFF"/>
                <w:kern w:val="0"/>
                <w:sz w:val="20"/>
                <w:szCs w:val="20"/>
                <w:lang w:eastAsia="en-GB"/>
                <w14:ligatures w14:val="none"/>
              </w:rPr>
            </w:pPr>
            <w:r w:rsidRPr="00CC53CF">
              <w:rPr>
                <w:rFonts w:eastAsia="Times New Roman"/>
                <w:b/>
                <w:bCs/>
                <w:color w:val="FFFFFF"/>
                <w:kern w:val="0"/>
                <w:sz w:val="20"/>
                <w:szCs w:val="20"/>
                <w:lang w:eastAsia="en-GB"/>
                <w14:ligatures w14:val="none"/>
              </w:rPr>
              <w:t>Directorate</w:t>
            </w:r>
          </w:p>
        </w:tc>
        <w:tc>
          <w:tcPr>
            <w:tcW w:w="6304" w:type="dxa"/>
            <w:tcBorders>
              <w:top w:val="nil"/>
              <w:left w:val="nil"/>
              <w:bottom w:val="single" w:sz="3" w:space="0" w:color="auto"/>
              <w:right w:val="single" w:sz="7" w:space="0" w:color="auto"/>
            </w:tcBorders>
            <w:vAlign w:val="center"/>
            <w:hideMark/>
          </w:tcPr>
          <w:p w14:paraId="3EB49A42" w14:textId="2A713E92" w:rsidR="00104263" w:rsidRPr="00CC53CF" w:rsidRDefault="006B4C36" w:rsidP="00CC53CF">
            <w:pPr>
              <w:spacing w:after="0" w:line="240" w:lineRule="auto"/>
              <w:rPr>
                <w:rFonts w:eastAsia="Times New Roman"/>
                <w:color w:val="000000"/>
                <w:kern w:val="0"/>
                <w:sz w:val="20"/>
                <w:szCs w:val="20"/>
                <w:lang w:eastAsia="en-GB"/>
                <w14:ligatures w14:val="none"/>
              </w:rPr>
            </w:pPr>
            <w:r w:rsidRPr="00CC53CF">
              <w:rPr>
                <w:rFonts w:eastAsia="Times New Roman"/>
                <w:color w:val="000000"/>
                <w:kern w:val="0"/>
                <w:sz w:val="20"/>
                <w:szCs w:val="20"/>
                <w:lang w:eastAsia="en-GB"/>
                <w14:ligatures w14:val="none"/>
              </w:rPr>
              <w:t>Housing and Public Protection</w:t>
            </w:r>
          </w:p>
        </w:tc>
      </w:tr>
      <w:tr w:rsidR="00104263" w:rsidRPr="00276646" w14:paraId="4A584057" w14:textId="77777777" w:rsidTr="78897294">
        <w:trPr>
          <w:cantSplit/>
          <w:trHeight w:val="464"/>
        </w:trPr>
        <w:tc>
          <w:tcPr>
            <w:tcW w:w="2769" w:type="dxa"/>
            <w:tcBorders>
              <w:top w:val="single" w:sz="7" w:space="0" w:color="FFFFFF" w:themeColor="background1"/>
              <w:left w:val="single" w:sz="7" w:space="0" w:color="auto"/>
              <w:bottom w:val="single" w:sz="7" w:space="0" w:color="auto"/>
              <w:right w:val="single" w:sz="3" w:space="0" w:color="auto"/>
            </w:tcBorders>
            <w:shd w:val="clear" w:color="auto" w:fill="00B050"/>
            <w:vAlign w:val="center"/>
            <w:hideMark/>
          </w:tcPr>
          <w:p w14:paraId="4940DF01" w14:textId="77777777" w:rsidR="00104263" w:rsidRPr="00CC53CF" w:rsidRDefault="00104263" w:rsidP="00CC53CF">
            <w:pPr>
              <w:spacing w:after="0" w:line="240" w:lineRule="auto"/>
              <w:rPr>
                <w:rFonts w:eastAsia="Times New Roman"/>
                <w:b/>
                <w:bCs/>
                <w:color w:val="FFFFFF"/>
                <w:kern w:val="0"/>
                <w:sz w:val="20"/>
                <w:szCs w:val="20"/>
                <w:lang w:eastAsia="en-GB"/>
                <w14:ligatures w14:val="none"/>
              </w:rPr>
            </w:pPr>
            <w:r w:rsidRPr="00CC53CF">
              <w:rPr>
                <w:rFonts w:eastAsia="Times New Roman"/>
                <w:b/>
                <w:bCs/>
                <w:color w:val="FFFFFF"/>
                <w:kern w:val="0"/>
                <w:sz w:val="20"/>
                <w:szCs w:val="20"/>
                <w:lang w:eastAsia="en-GB"/>
                <w14:ligatures w14:val="none"/>
              </w:rPr>
              <w:t>Service area</w:t>
            </w:r>
          </w:p>
        </w:tc>
        <w:tc>
          <w:tcPr>
            <w:tcW w:w="6304" w:type="dxa"/>
            <w:tcBorders>
              <w:top w:val="nil"/>
              <w:left w:val="nil"/>
              <w:bottom w:val="single" w:sz="7" w:space="0" w:color="auto"/>
              <w:right w:val="single" w:sz="7" w:space="0" w:color="auto"/>
            </w:tcBorders>
            <w:vAlign w:val="center"/>
            <w:hideMark/>
          </w:tcPr>
          <w:p w14:paraId="58B80214" w14:textId="153F8B7C" w:rsidR="00104263" w:rsidRPr="00CC53CF" w:rsidRDefault="006B4C36" w:rsidP="00CC53CF">
            <w:pPr>
              <w:spacing w:after="0" w:line="240" w:lineRule="auto"/>
              <w:rPr>
                <w:rFonts w:eastAsia="Times New Roman"/>
                <w:color w:val="000000"/>
                <w:kern w:val="0"/>
                <w:sz w:val="20"/>
                <w:szCs w:val="20"/>
                <w:lang w:eastAsia="en-GB"/>
                <w14:ligatures w14:val="none"/>
              </w:rPr>
            </w:pPr>
            <w:r w:rsidRPr="00CC53CF">
              <w:rPr>
                <w:rFonts w:eastAsia="Times New Roman"/>
                <w:color w:val="000000"/>
                <w:kern w:val="0"/>
                <w:sz w:val="20"/>
                <w:szCs w:val="20"/>
                <w:lang w:eastAsia="en-GB"/>
                <w14:ligatures w14:val="none"/>
              </w:rPr>
              <w:t>Housing – BCP Homes</w:t>
            </w:r>
          </w:p>
          <w:p w14:paraId="26349581" w14:textId="137A7DA2" w:rsidR="00104263" w:rsidRPr="00CC53CF" w:rsidRDefault="00104263" w:rsidP="00CC53CF">
            <w:pPr>
              <w:spacing w:after="0" w:line="240" w:lineRule="auto"/>
              <w:rPr>
                <w:rFonts w:eastAsia="Times New Roman"/>
                <w:color w:val="000000"/>
                <w:kern w:val="0"/>
                <w:sz w:val="20"/>
                <w:szCs w:val="20"/>
                <w:lang w:eastAsia="en-GB"/>
                <w14:ligatures w14:val="none"/>
              </w:rPr>
            </w:pPr>
          </w:p>
        </w:tc>
      </w:tr>
    </w:tbl>
    <w:p w14:paraId="2FD20B46" w14:textId="01EA3D22" w:rsidR="002728D9" w:rsidRPr="00276646" w:rsidRDefault="002728D9" w:rsidP="002728D9"/>
    <w:tbl>
      <w:tblPr>
        <w:tblW w:w="9466"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
        <w:gridCol w:w="9126"/>
        <w:gridCol w:w="305"/>
      </w:tblGrid>
      <w:tr w:rsidR="002728D9" w:rsidRPr="00276646" w14:paraId="3801DABA" w14:textId="77777777" w:rsidTr="035D4B22">
        <w:trPr>
          <w:gridAfter w:val="1"/>
          <w:wAfter w:w="305" w:type="dxa"/>
          <w:trHeight w:val="555"/>
        </w:trPr>
        <w:tc>
          <w:tcPr>
            <w:tcW w:w="9161" w:type="dxa"/>
            <w:gridSpan w:val="2"/>
            <w:tcBorders>
              <w:top w:val="single" w:sz="6" w:space="0" w:color="auto"/>
              <w:left w:val="single" w:sz="6" w:space="0" w:color="auto"/>
              <w:bottom w:val="nil"/>
              <w:right w:val="single" w:sz="6" w:space="0" w:color="auto"/>
            </w:tcBorders>
            <w:shd w:val="clear" w:color="auto" w:fill="00B050"/>
            <w:vAlign w:val="center"/>
            <w:hideMark/>
          </w:tcPr>
          <w:p w14:paraId="28073826" w14:textId="77777777" w:rsidR="002728D9" w:rsidRPr="00276646" w:rsidRDefault="002728D9" w:rsidP="002728D9">
            <w:r w:rsidRPr="00276646">
              <w:rPr>
                <w:b/>
                <w:bCs/>
              </w:rPr>
              <w:t>Specific responsibilities associated with this position</w:t>
            </w:r>
            <w:r w:rsidRPr="00276646">
              <w:t> </w:t>
            </w:r>
          </w:p>
        </w:tc>
      </w:tr>
      <w:tr w:rsidR="002728D9" w:rsidRPr="00CC53CF" w14:paraId="11E5DDE6" w14:textId="77777777" w:rsidTr="035D4B22">
        <w:trPr>
          <w:gridAfter w:val="1"/>
          <w:wAfter w:w="305" w:type="dxa"/>
          <w:trHeight w:val="1950"/>
        </w:trPr>
        <w:tc>
          <w:tcPr>
            <w:tcW w:w="9161" w:type="dxa"/>
            <w:gridSpan w:val="2"/>
            <w:tcBorders>
              <w:top w:val="nil"/>
              <w:left w:val="single" w:sz="6" w:space="0" w:color="auto"/>
              <w:bottom w:val="nil"/>
              <w:right w:val="single" w:sz="6" w:space="0" w:color="auto"/>
            </w:tcBorders>
            <w:hideMark/>
          </w:tcPr>
          <w:p w14:paraId="15A41C18" w14:textId="397031AF" w:rsidR="006B4C36" w:rsidRPr="00CC53CF" w:rsidRDefault="006B4C36" w:rsidP="006B4C36">
            <w:pPr>
              <w:pStyle w:val="ListParagraph"/>
              <w:numPr>
                <w:ilvl w:val="0"/>
                <w:numId w:val="27"/>
              </w:numPr>
              <w:spacing w:after="0" w:line="240" w:lineRule="auto"/>
              <w:rPr>
                <w:rFonts w:eastAsiaTheme="minorEastAsia"/>
                <w:color w:val="000000" w:themeColor="text1"/>
                <w:sz w:val="20"/>
                <w:szCs w:val="20"/>
                <w:lang w:eastAsia="en-GB"/>
              </w:rPr>
            </w:pPr>
            <w:proofErr w:type="gramStart"/>
            <w:r w:rsidRPr="00CC53CF">
              <w:rPr>
                <w:rFonts w:eastAsia="Times New Roman"/>
                <w:color w:val="000000" w:themeColor="text1"/>
                <w:sz w:val="20"/>
                <w:szCs w:val="20"/>
                <w:lang w:eastAsia="en-GB"/>
              </w:rPr>
              <w:t>Provide assistance to</w:t>
            </w:r>
            <w:proofErr w:type="gramEnd"/>
            <w:r w:rsidRPr="00CC53CF">
              <w:rPr>
                <w:rFonts w:eastAsia="Times New Roman"/>
                <w:color w:val="000000" w:themeColor="text1"/>
                <w:sz w:val="20"/>
                <w:szCs w:val="20"/>
                <w:lang w:eastAsia="en-GB"/>
              </w:rPr>
              <w:t xml:space="preserve"> customers on housing related issues, including engagement with other services, so that they can access services designed to prevent homelessness and enable sustainable tenancies. This may include advice on housing register qualification, referral to external agencies where appropriate, advice on benefits and wider issues such as social care.</w:t>
            </w:r>
          </w:p>
          <w:p w14:paraId="53D685AE"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Promote good practice in tenancies, helping individuals with issues such as rent payments on time and meeting landlord requirements, so that tenancies can be sustained, and homelessness prevented.</w:t>
            </w:r>
          </w:p>
          <w:p w14:paraId="67D3508E"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 xml:space="preserve">Manage a caseload of customers, engaging with them in undertaking initial assessments, produce support plans, and assist them to achieve the aims identified in their support plan. </w:t>
            </w:r>
          </w:p>
          <w:p w14:paraId="30C64A74"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Co-ordinate reviews of cases where appropriate for households with complex problems and liaise with other statutory and voluntary agencies as appropriate, to determine additional needs for the person such as social care and wellbeing support needs of households in housing need and refer to specialist providers where appropriate.</w:t>
            </w:r>
          </w:p>
          <w:p w14:paraId="42230913"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 xml:space="preserve">Make links with other agencies, such as schools, health and social care, to prevent homelessness and enable joined up support for individuals. </w:t>
            </w:r>
          </w:p>
          <w:p w14:paraId="551FFBF0"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Build strong links between social care, mental health and health services and other stakeholders and to liaise effectively with other teams within BCP Council and external agencies.</w:t>
            </w:r>
          </w:p>
          <w:p w14:paraId="4710FE74"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Promote and develop the role and service in line with good practice and the regulatory framework.</w:t>
            </w:r>
          </w:p>
          <w:p w14:paraId="71FE80EE"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 xml:space="preserve">Ensure clients are fully involved with shaping and developing the service.  </w:t>
            </w:r>
          </w:p>
          <w:p w14:paraId="4BA50DAA"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 xml:space="preserve">Provide support to residents with a range of vulnerabilities including learning disabilities, mental health issues, physical disabilities, substance misuse issues, behavioural problems, dementia and memory loss, victims and perpetrators of antisocial behaviour. </w:t>
            </w:r>
          </w:p>
          <w:p w14:paraId="160A1F7B"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Develop a support specialism and undertake specific training in this field to increase level of expertise.</w:t>
            </w:r>
          </w:p>
          <w:p w14:paraId="1D667AAB"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Develop close links with and work in partnership with other agencies and to organise case conferences including Multi-agency Risk Management Meetings (MARMMs) and complete action plans in conjunction with all parties concerned.</w:t>
            </w:r>
          </w:p>
          <w:p w14:paraId="7F7CA272"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 xml:space="preserve">Carry out the assessment of referrals and contribute towards prioritising and maintaining any waiting list.  </w:t>
            </w:r>
          </w:p>
          <w:p w14:paraId="6B70F5AF"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lastRenderedPageBreak/>
              <w:t>Work closely with other BCP Homes Officers such as the Housing Officer or Engagement and Enforcement Teams (EET) to ensure effective and seamless delivery of support.</w:t>
            </w:r>
          </w:p>
          <w:p w14:paraId="678E2798"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Ensure clients views are considered in all decisions that affect them and in the delivery of the service.</w:t>
            </w:r>
          </w:p>
          <w:p w14:paraId="5391D725"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 xml:space="preserve">Fully comply with the Equality and Diversity Policy and assist the Locality Manager in the undertaking of any equality impact assessments of the service. </w:t>
            </w:r>
          </w:p>
          <w:p w14:paraId="1CF799FC" w14:textId="77777777" w:rsidR="006B4C36" w:rsidRPr="00CC53CF" w:rsidRDefault="006B4C36" w:rsidP="006B4C36">
            <w:pPr>
              <w:pStyle w:val="ListParagraph"/>
              <w:numPr>
                <w:ilvl w:val="0"/>
                <w:numId w:val="27"/>
              </w:numPr>
              <w:spacing w:after="0" w:line="240" w:lineRule="auto"/>
              <w:rPr>
                <w:rFonts w:eastAsia="Times New Roman"/>
                <w:color w:val="000000"/>
                <w:sz w:val="20"/>
                <w:szCs w:val="20"/>
                <w:lang w:eastAsia="en-GB"/>
              </w:rPr>
            </w:pPr>
            <w:r w:rsidRPr="00CC53CF">
              <w:rPr>
                <w:sz w:val="20"/>
                <w:szCs w:val="20"/>
              </w:rPr>
              <w:t xml:space="preserve">Accurately maintain files and IT based recording systems and provide statistical performance information as required.  </w:t>
            </w:r>
          </w:p>
          <w:p w14:paraId="6EAA1D2F" w14:textId="77777777" w:rsidR="002728D9" w:rsidRPr="00CC53CF" w:rsidRDefault="006B4C36" w:rsidP="00CC53CF">
            <w:pPr>
              <w:pStyle w:val="ListParagraph"/>
              <w:numPr>
                <w:ilvl w:val="0"/>
                <w:numId w:val="27"/>
              </w:numPr>
              <w:spacing w:after="0" w:line="240" w:lineRule="auto"/>
              <w:rPr>
                <w:rFonts w:eastAsia="Times New Roman"/>
                <w:color w:val="000000"/>
                <w:sz w:val="20"/>
                <w:szCs w:val="20"/>
                <w:lang w:eastAsia="en-GB"/>
              </w:rPr>
            </w:pPr>
            <w:r w:rsidRPr="00CC53CF">
              <w:rPr>
                <w:sz w:val="20"/>
                <w:szCs w:val="20"/>
              </w:rPr>
              <w:t xml:space="preserve">Be an effective team player and assist in covering other members of the sustainment team. </w:t>
            </w:r>
          </w:p>
          <w:p w14:paraId="479CCBA5" w14:textId="77777777" w:rsidR="00CC53CF" w:rsidRPr="00CC53CF" w:rsidRDefault="00CC53CF" w:rsidP="00CC53CF">
            <w:pPr>
              <w:pStyle w:val="ListParagraph"/>
              <w:spacing w:after="0" w:line="240" w:lineRule="auto"/>
              <w:rPr>
                <w:rFonts w:eastAsia="Times New Roman"/>
                <w:color w:val="000000"/>
                <w:sz w:val="20"/>
                <w:szCs w:val="20"/>
                <w:lang w:eastAsia="en-GB"/>
              </w:rPr>
            </w:pPr>
          </w:p>
          <w:p w14:paraId="46D26E7F" w14:textId="44543AB2" w:rsidR="00CC53CF" w:rsidRPr="00CC53CF" w:rsidRDefault="00CC53CF" w:rsidP="00CC53CF">
            <w:pPr>
              <w:pStyle w:val="ListParagraph"/>
              <w:spacing w:after="0" w:line="240" w:lineRule="auto"/>
              <w:rPr>
                <w:rFonts w:eastAsia="Times New Roman"/>
                <w:color w:val="000000"/>
                <w:sz w:val="20"/>
                <w:szCs w:val="20"/>
                <w:lang w:eastAsia="en-GB"/>
              </w:rPr>
            </w:pPr>
          </w:p>
        </w:tc>
      </w:tr>
      <w:tr w:rsidR="002728D9" w:rsidRPr="00CC53CF" w14:paraId="20FF5F87" w14:textId="77777777" w:rsidTr="035D4B22">
        <w:trPr>
          <w:gridAfter w:val="1"/>
          <w:wAfter w:w="305" w:type="dxa"/>
          <w:trHeight w:val="555"/>
        </w:trPr>
        <w:tc>
          <w:tcPr>
            <w:tcW w:w="9161"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3A7E7947" w14:textId="77777777" w:rsidR="002728D9" w:rsidRPr="00CC53CF" w:rsidRDefault="002728D9" w:rsidP="002728D9">
            <w:pPr>
              <w:rPr>
                <w:sz w:val="20"/>
                <w:szCs w:val="20"/>
              </w:rPr>
            </w:pPr>
            <w:r w:rsidRPr="00CC53CF">
              <w:rPr>
                <w:b/>
                <w:bCs/>
                <w:sz w:val="20"/>
                <w:szCs w:val="20"/>
              </w:rPr>
              <w:lastRenderedPageBreak/>
              <w:t>Specific person specification associated with this position</w:t>
            </w:r>
            <w:r w:rsidRPr="00CC53CF">
              <w:rPr>
                <w:sz w:val="20"/>
                <w:szCs w:val="20"/>
              </w:rPr>
              <w:t> </w:t>
            </w:r>
          </w:p>
        </w:tc>
      </w:tr>
      <w:tr w:rsidR="002728D9" w:rsidRPr="00CC53CF" w14:paraId="41038E90" w14:textId="77777777" w:rsidTr="035D4B22">
        <w:trPr>
          <w:gridAfter w:val="1"/>
          <w:wAfter w:w="305" w:type="dxa"/>
          <w:trHeight w:val="2355"/>
        </w:trPr>
        <w:tc>
          <w:tcPr>
            <w:tcW w:w="9161" w:type="dxa"/>
            <w:gridSpan w:val="2"/>
            <w:tcBorders>
              <w:top w:val="single" w:sz="6" w:space="0" w:color="auto"/>
              <w:left w:val="single" w:sz="6" w:space="0" w:color="auto"/>
              <w:bottom w:val="single" w:sz="6" w:space="0" w:color="auto"/>
              <w:right w:val="single" w:sz="6" w:space="0" w:color="000000" w:themeColor="text1"/>
            </w:tcBorders>
            <w:hideMark/>
          </w:tcPr>
          <w:p w14:paraId="4BE6F922"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 xml:space="preserve">Diploma level qualification or equivalent experience. </w:t>
            </w:r>
          </w:p>
          <w:p w14:paraId="76F07353"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May be working towards Chartered Institute of Housing qualification.</w:t>
            </w:r>
          </w:p>
          <w:p w14:paraId="01853F87"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Knowledge of housing and homelessness legislation and best practice in the prevention of homelessness.</w:t>
            </w:r>
          </w:p>
          <w:p w14:paraId="6FE2C1A2"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 xml:space="preserve">Knowledge of other legislation relating to families, children, and tenancies. </w:t>
            </w:r>
          </w:p>
          <w:p w14:paraId="692B4868"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Knowledge of the housing market, and benefits.</w:t>
            </w:r>
          </w:p>
          <w:p w14:paraId="3C859A05"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Experience of dealing with members of the public both face to face and over the phone.</w:t>
            </w:r>
          </w:p>
          <w:p w14:paraId="6C727C4B"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Experience of tenancy management and assisting tenants with a range of complex housing matters.</w:t>
            </w:r>
          </w:p>
          <w:p w14:paraId="7F173836"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Experience of financial and administrative systems.</w:t>
            </w:r>
          </w:p>
          <w:p w14:paraId="38D47045"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Excellent computer skills using Microsoft Office systems.</w:t>
            </w:r>
          </w:p>
          <w:p w14:paraId="48E3DC42"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 xml:space="preserve">Excellent communication skills in all forms across all sectors of professional and commercial stakeholders and members of the public, with the ability to influence, use empathy to understand complex situations, and to advise others. </w:t>
            </w:r>
          </w:p>
          <w:p w14:paraId="6885BDF8" w14:textId="77777777" w:rsidR="00CC53CF" w:rsidRPr="00CC53CF" w:rsidRDefault="00CC53CF" w:rsidP="00CC53CF">
            <w:pPr>
              <w:pStyle w:val="ListParagraph"/>
              <w:numPr>
                <w:ilvl w:val="0"/>
                <w:numId w:val="27"/>
              </w:numPr>
              <w:spacing w:after="0" w:line="240" w:lineRule="auto"/>
              <w:rPr>
                <w:rFonts w:eastAsia="Times New Roman"/>
                <w:color w:val="000000"/>
                <w:sz w:val="20"/>
                <w:szCs w:val="20"/>
                <w:lang w:eastAsia="en-GB"/>
              </w:rPr>
            </w:pPr>
            <w:r w:rsidRPr="00CC53CF">
              <w:rPr>
                <w:rFonts w:eastAsia="Times New Roman"/>
                <w:color w:val="000000" w:themeColor="text1"/>
                <w:sz w:val="20"/>
                <w:szCs w:val="20"/>
                <w:lang w:eastAsia="en-GB"/>
              </w:rPr>
              <w:t>Ability to deal effectively with caseloads and competing demands.</w:t>
            </w:r>
          </w:p>
          <w:p w14:paraId="7F8BD292" w14:textId="77777777" w:rsidR="00CC53CF" w:rsidRPr="00CC53CF" w:rsidRDefault="00CC53CF" w:rsidP="00CC53CF">
            <w:pPr>
              <w:pStyle w:val="ListParagraph"/>
              <w:spacing w:after="0" w:line="240" w:lineRule="auto"/>
              <w:rPr>
                <w:rFonts w:eastAsia="Times New Roman"/>
                <w:color w:val="000000"/>
                <w:sz w:val="20"/>
                <w:szCs w:val="20"/>
                <w:lang w:eastAsia="en-GB"/>
              </w:rPr>
            </w:pPr>
          </w:p>
          <w:p w14:paraId="7258500A" w14:textId="5C3D5589" w:rsidR="002728D9" w:rsidRPr="00CC53CF" w:rsidRDefault="002728D9" w:rsidP="0086357C">
            <w:pPr>
              <w:spacing w:before="120" w:after="0" w:line="240" w:lineRule="auto"/>
              <w:rPr>
                <w:sz w:val="20"/>
                <w:szCs w:val="20"/>
              </w:rPr>
            </w:pPr>
          </w:p>
        </w:tc>
      </w:tr>
      <w:tr w:rsidR="002728D9" w:rsidRPr="00CC53CF" w14:paraId="1D7BBB1E" w14:textId="77777777" w:rsidTr="035D4B22">
        <w:trPr>
          <w:trHeight w:val="555"/>
        </w:trPr>
        <w:tc>
          <w:tcPr>
            <w:tcW w:w="20" w:type="dxa"/>
            <w:tcBorders>
              <w:top w:val="outset" w:sz="6" w:space="0" w:color="auto"/>
              <w:left w:val="outset" w:sz="6" w:space="0" w:color="auto"/>
              <w:bottom w:val="outset" w:sz="6" w:space="0" w:color="auto"/>
              <w:right w:val="outset" w:sz="6" w:space="0" w:color="auto"/>
            </w:tcBorders>
            <w:hideMark/>
          </w:tcPr>
          <w:p w14:paraId="4080F8C3" w14:textId="77777777" w:rsidR="002728D9" w:rsidRPr="00CC53CF" w:rsidRDefault="002728D9" w:rsidP="002728D9">
            <w:pPr>
              <w:rPr>
                <w:sz w:val="20"/>
                <w:szCs w:val="20"/>
              </w:rPr>
            </w:pPr>
            <w:r w:rsidRPr="00CC53CF">
              <w:rPr>
                <w:sz w:val="20"/>
                <w:szCs w:val="20"/>
              </w:rPr>
              <w:t> </w:t>
            </w:r>
          </w:p>
        </w:tc>
        <w:tc>
          <w:tcPr>
            <w:tcW w:w="9446" w:type="dxa"/>
            <w:gridSpan w:val="2"/>
            <w:tcBorders>
              <w:top w:val="single" w:sz="6" w:space="0" w:color="auto"/>
              <w:left w:val="single" w:sz="6" w:space="0" w:color="auto"/>
              <w:bottom w:val="single" w:sz="6" w:space="0" w:color="auto"/>
              <w:right w:val="single" w:sz="6" w:space="0" w:color="000000" w:themeColor="text1"/>
            </w:tcBorders>
            <w:shd w:val="clear" w:color="auto" w:fill="00B050"/>
            <w:vAlign w:val="center"/>
            <w:hideMark/>
          </w:tcPr>
          <w:p w14:paraId="2ED43180" w14:textId="77777777" w:rsidR="002728D9" w:rsidRPr="00CC53CF" w:rsidRDefault="002728D9" w:rsidP="002728D9">
            <w:pPr>
              <w:rPr>
                <w:sz w:val="20"/>
                <w:szCs w:val="20"/>
              </w:rPr>
            </w:pPr>
            <w:r w:rsidRPr="00CC53CF">
              <w:rPr>
                <w:b/>
                <w:bCs/>
                <w:sz w:val="20"/>
                <w:szCs w:val="20"/>
              </w:rPr>
              <w:t>Other requirements for this position</w:t>
            </w:r>
            <w:r w:rsidRPr="00CC53CF">
              <w:rPr>
                <w:sz w:val="20"/>
                <w:szCs w:val="20"/>
              </w:rPr>
              <w:t> </w:t>
            </w:r>
          </w:p>
        </w:tc>
      </w:tr>
      <w:tr w:rsidR="002728D9" w:rsidRPr="00CC53CF" w14:paraId="5E6AAE2D" w14:textId="77777777" w:rsidTr="035D4B22">
        <w:trPr>
          <w:trHeight w:val="1665"/>
        </w:trPr>
        <w:tc>
          <w:tcPr>
            <w:tcW w:w="20" w:type="dxa"/>
            <w:tcBorders>
              <w:top w:val="outset" w:sz="6" w:space="0" w:color="auto"/>
              <w:left w:val="outset" w:sz="6" w:space="0" w:color="auto"/>
              <w:bottom w:val="outset" w:sz="6" w:space="0" w:color="auto"/>
              <w:right w:val="outset" w:sz="6" w:space="0" w:color="auto"/>
            </w:tcBorders>
            <w:hideMark/>
          </w:tcPr>
          <w:p w14:paraId="2EC6298B" w14:textId="77777777" w:rsidR="002728D9" w:rsidRPr="00CC53CF" w:rsidRDefault="002728D9" w:rsidP="002728D9">
            <w:pPr>
              <w:rPr>
                <w:sz w:val="20"/>
                <w:szCs w:val="20"/>
              </w:rPr>
            </w:pPr>
            <w:r w:rsidRPr="00CC53CF">
              <w:rPr>
                <w:sz w:val="20"/>
                <w:szCs w:val="20"/>
              </w:rPr>
              <w:t> </w:t>
            </w:r>
          </w:p>
        </w:tc>
        <w:tc>
          <w:tcPr>
            <w:tcW w:w="9446" w:type="dxa"/>
            <w:gridSpan w:val="2"/>
            <w:tcBorders>
              <w:top w:val="single" w:sz="6" w:space="0" w:color="auto"/>
              <w:left w:val="single" w:sz="6" w:space="0" w:color="auto"/>
              <w:bottom w:val="single" w:sz="6" w:space="0" w:color="auto"/>
              <w:right w:val="single" w:sz="6" w:space="0" w:color="000000" w:themeColor="text1"/>
            </w:tcBorders>
            <w:hideMark/>
          </w:tcPr>
          <w:p w14:paraId="73BD0894" w14:textId="40B2083D" w:rsidR="002728D9" w:rsidRPr="00CC53CF" w:rsidRDefault="0277ACC9" w:rsidP="002728D9">
            <w:pPr>
              <w:rPr>
                <w:sz w:val="20"/>
                <w:szCs w:val="20"/>
              </w:rPr>
            </w:pPr>
            <w:r w:rsidRPr="00CC53CF">
              <w:rPr>
                <w:b/>
                <w:bCs/>
                <w:sz w:val="20"/>
                <w:szCs w:val="20"/>
              </w:rPr>
              <w:t>Use this section to identify other requirements for this position.</w:t>
            </w:r>
            <w:r w:rsidRPr="00CC53CF">
              <w:rPr>
                <w:sz w:val="20"/>
                <w:szCs w:val="20"/>
              </w:rPr>
              <w:t> </w:t>
            </w:r>
          </w:p>
          <w:p w14:paraId="4CD8EB60" w14:textId="77777777" w:rsidR="00CC53CF" w:rsidRPr="00CC53CF" w:rsidRDefault="00CC53CF" w:rsidP="00CC53CF">
            <w:pPr>
              <w:pStyle w:val="ListParagraph"/>
              <w:numPr>
                <w:ilvl w:val="0"/>
                <w:numId w:val="27"/>
              </w:numPr>
              <w:spacing w:after="0" w:line="240" w:lineRule="auto"/>
              <w:rPr>
                <w:rFonts w:eastAsia="Times New Roman"/>
                <w:sz w:val="20"/>
                <w:szCs w:val="20"/>
                <w:lang w:eastAsia="en-GB"/>
              </w:rPr>
            </w:pPr>
            <w:r w:rsidRPr="00CC53CF">
              <w:rPr>
                <w:rFonts w:eastAsia="Times New Roman"/>
                <w:sz w:val="20"/>
                <w:szCs w:val="20"/>
                <w:lang w:eastAsia="en-GB"/>
              </w:rPr>
              <w:t>The role holder will need to maintain concentration and composure when undertaking assessments and recording/verifying information.</w:t>
            </w:r>
          </w:p>
          <w:p w14:paraId="38CA92CC" w14:textId="16239470" w:rsidR="00CC53CF" w:rsidRPr="00CC53CF" w:rsidRDefault="00CC53CF" w:rsidP="00CC53CF">
            <w:pPr>
              <w:pStyle w:val="ListParagraph"/>
              <w:numPr>
                <w:ilvl w:val="0"/>
                <w:numId w:val="27"/>
              </w:numPr>
              <w:spacing w:after="0" w:line="240" w:lineRule="auto"/>
              <w:rPr>
                <w:rFonts w:eastAsia="Times New Roman"/>
                <w:sz w:val="20"/>
                <w:szCs w:val="20"/>
                <w:lang w:eastAsia="en-GB"/>
              </w:rPr>
            </w:pPr>
            <w:r w:rsidRPr="00CC53CF">
              <w:rPr>
                <w:rFonts w:eastAsia="Times New Roman"/>
                <w:sz w:val="20"/>
                <w:szCs w:val="20"/>
                <w:lang w:eastAsia="en-GB"/>
              </w:rPr>
              <w:t xml:space="preserve">The role will involve some walking, </w:t>
            </w:r>
            <w:r w:rsidRPr="00CC53CF">
              <w:rPr>
                <w:rFonts w:eastAsia="Times New Roman"/>
                <w:sz w:val="20"/>
                <w:szCs w:val="20"/>
                <w:lang w:eastAsia="en-GB"/>
              </w:rPr>
              <w:t>undertake</w:t>
            </w:r>
            <w:r w:rsidRPr="00CC53CF">
              <w:rPr>
                <w:rFonts w:eastAsia="Times New Roman"/>
                <w:sz w:val="20"/>
                <w:szCs w:val="20"/>
                <w:lang w:eastAsia="en-GB"/>
              </w:rPr>
              <w:t xml:space="preserve"> home visits and </w:t>
            </w:r>
            <w:proofErr w:type="gramStart"/>
            <w:r w:rsidRPr="00CC53CF">
              <w:rPr>
                <w:rFonts w:eastAsia="Times New Roman"/>
                <w:sz w:val="20"/>
                <w:szCs w:val="20"/>
                <w:lang w:eastAsia="en-GB"/>
              </w:rPr>
              <w:t>working</w:t>
            </w:r>
            <w:proofErr w:type="gramEnd"/>
            <w:r w:rsidRPr="00CC53CF">
              <w:rPr>
                <w:rFonts w:eastAsia="Times New Roman"/>
                <w:sz w:val="20"/>
                <w:szCs w:val="20"/>
                <w:lang w:eastAsia="en-GB"/>
              </w:rPr>
              <w:t xml:space="preserve"> in the community.</w:t>
            </w:r>
          </w:p>
          <w:p w14:paraId="4E6E7C8B" w14:textId="1F787399" w:rsidR="00CC53CF" w:rsidRPr="00CC53CF" w:rsidRDefault="00CC53CF" w:rsidP="00CC53CF">
            <w:pPr>
              <w:pStyle w:val="ListParagraph"/>
              <w:numPr>
                <w:ilvl w:val="0"/>
                <w:numId w:val="27"/>
              </w:numPr>
              <w:spacing w:after="0" w:line="240" w:lineRule="auto"/>
              <w:rPr>
                <w:rFonts w:eastAsia="Times New Roman"/>
                <w:sz w:val="20"/>
                <w:szCs w:val="20"/>
                <w:lang w:eastAsia="en-GB"/>
              </w:rPr>
            </w:pPr>
            <w:r w:rsidRPr="00CC53CF">
              <w:rPr>
                <w:rFonts w:eastAsia="Times New Roman"/>
                <w:sz w:val="20"/>
                <w:szCs w:val="20"/>
                <w:lang w:eastAsia="en-GB"/>
              </w:rPr>
              <w:t>The role will be undertaking home visits, meeting people in accommodation and as part of this may be exposed to unpleasant environmental conditions such as smoke, dirt and smells.</w:t>
            </w:r>
          </w:p>
          <w:p w14:paraId="7FACB191" w14:textId="77777777" w:rsidR="00CC53CF" w:rsidRPr="00CC53CF" w:rsidRDefault="00CC53CF" w:rsidP="00CC53CF">
            <w:pPr>
              <w:pStyle w:val="ListParagraph"/>
              <w:numPr>
                <w:ilvl w:val="0"/>
                <w:numId w:val="27"/>
              </w:numPr>
              <w:spacing w:after="0" w:line="240" w:lineRule="auto"/>
              <w:rPr>
                <w:rFonts w:eastAsia="Times New Roman"/>
                <w:sz w:val="20"/>
                <w:szCs w:val="20"/>
                <w:lang w:eastAsia="en-GB"/>
              </w:rPr>
            </w:pPr>
            <w:r w:rsidRPr="00CC53CF">
              <w:rPr>
                <w:rFonts w:eastAsia="Times New Roman"/>
                <w:sz w:val="20"/>
                <w:szCs w:val="20"/>
                <w:lang w:eastAsia="en-GB"/>
              </w:rPr>
              <w:t>The role will need to deal with challenging behaviour, confrontation and will support vulnerable people who have complex needs and challenging behaviours, potentially making contentious decisions that may distress customers.</w:t>
            </w:r>
          </w:p>
          <w:p w14:paraId="70F81776" w14:textId="1F24F60C" w:rsidR="00CC53CF" w:rsidRPr="00CC53CF" w:rsidRDefault="00CC53CF" w:rsidP="00CC53CF">
            <w:pPr>
              <w:pStyle w:val="ListParagraph"/>
              <w:numPr>
                <w:ilvl w:val="0"/>
                <w:numId w:val="27"/>
              </w:numPr>
              <w:spacing w:after="0" w:line="240" w:lineRule="auto"/>
              <w:rPr>
                <w:rFonts w:eastAsia="Times New Roman"/>
                <w:sz w:val="20"/>
                <w:szCs w:val="20"/>
                <w:lang w:eastAsia="en-GB"/>
              </w:rPr>
            </w:pPr>
            <w:r w:rsidRPr="00CC53CF">
              <w:rPr>
                <w:rFonts w:eastAsia="Times New Roman"/>
                <w:sz w:val="20"/>
                <w:szCs w:val="20"/>
                <w:lang w:eastAsia="en-GB"/>
              </w:rPr>
              <w:t>Emotional demands, dealing with sensitive issues</w:t>
            </w:r>
          </w:p>
          <w:p w14:paraId="7EC17321" w14:textId="1C242144" w:rsidR="0086357C" w:rsidRPr="00CC53CF" w:rsidRDefault="0277ACC9" w:rsidP="00735457">
            <w:pPr>
              <w:rPr>
                <w:sz w:val="20"/>
                <w:szCs w:val="20"/>
              </w:rPr>
            </w:pPr>
            <w:r w:rsidRPr="00CC53CF">
              <w:rPr>
                <w:sz w:val="20"/>
                <w:szCs w:val="20"/>
              </w:rPr>
              <w:t> </w:t>
            </w:r>
          </w:p>
        </w:tc>
      </w:tr>
    </w:tbl>
    <w:p w14:paraId="38519124" w14:textId="77777777" w:rsidR="00CC3EAD" w:rsidRPr="00276646" w:rsidRDefault="00CC3EAD" w:rsidP="002728D9">
      <w:pPr>
        <w:rPr>
          <w:b/>
          <w:bCs/>
        </w:rPr>
      </w:pPr>
    </w:p>
    <w:p w14:paraId="68318B63" w14:textId="609F3B8A" w:rsidR="00712442" w:rsidRPr="00276646" w:rsidRDefault="00712442" w:rsidP="002728D9">
      <w:pPr>
        <w:rPr>
          <w:b/>
          <w:bCs/>
        </w:rPr>
      </w:pPr>
      <w:r w:rsidRPr="00276646">
        <w:rPr>
          <w:b/>
          <w:bCs/>
        </w:rPr>
        <w:t>For P &amp; R Use Only:</w:t>
      </w:r>
    </w:p>
    <w:p w14:paraId="651D70AA" w14:textId="4D836BBD" w:rsidR="00712442" w:rsidRPr="00276646" w:rsidRDefault="00712442" w:rsidP="002728D9">
      <w:r w:rsidRPr="00276646">
        <w:t>Role Profile Addendum Reference Number:   ………………………………</w:t>
      </w:r>
    </w:p>
    <w:p w14:paraId="7AAC67ED" w14:textId="5E6AE954" w:rsidR="006069C3" w:rsidRPr="00276646" w:rsidRDefault="006069C3" w:rsidP="002728D9">
      <w:r w:rsidRPr="00276646">
        <w:t>Date</w:t>
      </w:r>
      <w:r w:rsidR="00D363A2" w:rsidRPr="00276646">
        <w:t xml:space="preserve"> Saved:   </w:t>
      </w:r>
    </w:p>
    <w:sectPr w:rsidR="006069C3" w:rsidRPr="00276646">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2D0C" w14:textId="77777777" w:rsidR="008A034B" w:rsidRDefault="008A034B" w:rsidP="006A3990">
      <w:pPr>
        <w:spacing w:after="0" w:line="240" w:lineRule="auto"/>
      </w:pPr>
      <w:r>
        <w:separator/>
      </w:r>
    </w:p>
  </w:endnote>
  <w:endnote w:type="continuationSeparator" w:id="0">
    <w:p w14:paraId="3D9B5C73" w14:textId="77777777" w:rsidR="008A034B" w:rsidRDefault="008A034B" w:rsidP="006A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3171" w14:textId="6D68F258" w:rsidR="006A3990" w:rsidRDefault="006A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311A" w14:textId="4B99FC18" w:rsidR="006A3990" w:rsidRDefault="006A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9FD8" w14:textId="10EC12CD" w:rsidR="006A3990" w:rsidRDefault="006A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0C6A" w14:textId="77777777" w:rsidR="008A034B" w:rsidRDefault="008A034B" w:rsidP="006A3990">
      <w:pPr>
        <w:spacing w:after="0" w:line="240" w:lineRule="auto"/>
      </w:pPr>
      <w:r>
        <w:separator/>
      </w:r>
    </w:p>
  </w:footnote>
  <w:footnote w:type="continuationSeparator" w:id="0">
    <w:p w14:paraId="58E99337" w14:textId="77777777" w:rsidR="008A034B" w:rsidRDefault="008A034B" w:rsidP="006A3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D44"/>
    <w:multiLevelType w:val="multilevel"/>
    <w:tmpl w:val="E8AE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11F6A"/>
    <w:multiLevelType w:val="multilevel"/>
    <w:tmpl w:val="D17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615E8"/>
    <w:multiLevelType w:val="multilevel"/>
    <w:tmpl w:val="468A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11E36"/>
    <w:multiLevelType w:val="multilevel"/>
    <w:tmpl w:val="4B12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2252B8"/>
    <w:multiLevelType w:val="multilevel"/>
    <w:tmpl w:val="21BC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30EE4"/>
    <w:multiLevelType w:val="multilevel"/>
    <w:tmpl w:val="EC54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D7CFF"/>
    <w:multiLevelType w:val="multilevel"/>
    <w:tmpl w:val="4E9C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0320F"/>
    <w:multiLevelType w:val="multilevel"/>
    <w:tmpl w:val="42C2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82AA6"/>
    <w:multiLevelType w:val="multilevel"/>
    <w:tmpl w:val="B3D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8012D1"/>
    <w:multiLevelType w:val="multilevel"/>
    <w:tmpl w:val="FF1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101D7"/>
    <w:multiLevelType w:val="multilevel"/>
    <w:tmpl w:val="7F1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A60DEF"/>
    <w:multiLevelType w:val="multilevel"/>
    <w:tmpl w:val="63E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C70B5"/>
    <w:multiLevelType w:val="multilevel"/>
    <w:tmpl w:val="3A06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A376B5"/>
    <w:multiLevelType w:val="hybridMultilevel"/>
    <w:tmpl w:val="A1BA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F921"/>
    <w:multiLevelType w:val="hybridMultilevel"/>
    <w:tmpl w:val="FFFFFFFF"/>
    <w:lvl w:ilvl="0" w:tplc="1FFEC8B8">
      <w:start w:val="1"/>
      <w:numFmt w:val="bullet"/>
      <w:lvlText w:val=""/>
      <w:lvlJc w:val="left"/>
      <w:pPr>
        <w:ind w:left="720" w:hanging="360"/>
      </w:pPr>
      <w:rPr>
        <w:rFonts w:ascii="Symbol" w:hAnsi="Symbol" w:hint="default"/>
      </w:rPr>
    </w:lvl>
    <w:lvl w:ilvl="1" w:tplc="F9503BDA">
      <w:start w:val="1"/>
      <w:numFmt w:val="bullet"/>
      <w:lvlText w:val="o"/>
      <w:lvlJc w:val="left"/>
      <w:pPr>
        <w:ind w:left="1440" w:hanging="360"/>
      </w:pPr>
      <w:rPr>
        <w:rFonts w:ascii="Courier New" w:hAnsi="Courier New" w:hint="default"/>
      </w:rPr>
    </w:lvl>
    <w:lvl w:ilvl="2" w:tplc="704EF0C6">
      <w:start w:val="1"/>
      <w:numFmt w:val="bullet"/>
      <w:lvlText w:val=""/>
      <w:lvlJc w:val="left"/>
      <w:pPr>
        <w:ind w:left="2160" w:hanging="360"/>
      </w:pPr>
      <w:rPr>
        <w:rFonts w:ascii="Wingdings" w:hAnsi="Wingdings" w:hint="default"/>
      </w:rPr>
    </w:lvl>
    <w:lvl w:ilvl="3" w:tplc="6C64966C">
      <w:start w:val="1"/>
      <w:numFmt w:val="bullet"/>
      <w:lvlText w:val=""/>
      <w:lvlJc w:val="left"/>
      <w:pPr>
        <w:ind w:left="2880" w:hanging="360"/>
      </w:pPr>
      <w:rPr>
        <w:rFonts w:ascii="Symbol" w:hAnsi="Symbol" w:hint="default"/>
      </w:rPr>
    </w:lvl>
    <w:lvl w:ilvl="4" w:tplc="117E67BE">
      <w:start w:val="1"/>
      <w:numFmt w:val="bullet"/>
      <w:lvlText w:val="o"/>
      <w:lvlJc w:val="left"/>
      <w:pPr>
        <w:ind w:left="3600" w:hanging="360"/>
      </w:pPr>
      <w:rPr>
        <w:rFonts w:ascii="Courier New" w:hAnsi="Courier New" w:hint="default"/>
      </w:rPr>
    </w:lvl>
    <w:lvl w:ilvl="5" w:tplc="42424190">
      <w:start w:val="1"/>
      <w:numFmt w:val="bullet"/>
      <w:lvlText w:val=""/>
      <w:lvlJc w:val="left"/>
      <w:pPr>
        <w:ind w:left="4320" w:hanging="360"/>
      </w:pPr>
      <w:rPr>
        <w:rFonts w:ascii="Wingdings" w:hAnsi="Wingdings" w:hint="default"/>
      </w:rPr>
    </w:lvl>
    <w:lvl w:ilvl="6" w:tplc="A2FE8266">
      <w:start w:val="1"/>
      <w:numFmt w:val="bullet"/>
      <w:lvlText w:val=""/>
      <w:lvlJc w:val="left"/>
      <w:pPr>
        <w:ind w:left="5040" w:hanging="360"/>
      </w:pPr>
      <w:rPr>
        <w:rFonts w:ascii="Symbol" w:hAnsi="Symbol" w:hint="default"/>
      </w:rPr>
    </w:lvl>
    <w:lvl w:ilvl="7" w:tplc="20247366">
      <w:start w:val="1"/>
      <w:numFmt w:val="bullet"/>
      <w:lvlText w:val="o"/>
      <w:lvlJc w:val="left"/>
      <w:pPr>
        <w:ind w:left="5760" w:hanging="360"/>
      </w:pPr>
      <w:rPr>
        <w:rFonts w:ascii="Courier New" w:hAnsi="Courier New" w:hint="default"/>
      </w:rPr>
    </w:lvl>
    <w:lvl w:ilvl="8" w:tplc="B1C68986">
      <w:start w:val="1"/>
      <w:numFmt w:val="bullet"/>
      <w:lvlText w:val=""/>
      <w:lvlJc w:val="left"/>
      <w:pPr>
        <w:ind w:left="6480" w:hanging="360"/>
      </w:pPr>
      <w:rPr>
        <w:rFonts w:ascii="Wingdings" w:hAnsi="Wingdings" w:hint="default"/>
      </w:rPr>
    </w:lvl>
  </w:abstractNum>
  <w:abstractNum w:abstractNumId="15" w15:restartNumberingAfterBreak="0">
    <w:nsid w:val="4E2F293A"/>
    <w:multiLevelType w:val="multilevel"/>
    <w:tmpl w:val="BC26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664407"/>
    <w:multiLevelType w:val="multilevel"/>
    <w:tmpl w:val="281AF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243DCE"/>
    <w:multiLevelType w:val="multilevel"/>
    <w:tmpl w:val="A22E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0547C1"/>
    <w:multiLevelType w:val="multilevel"/>
    <w:tmpl w:val="E4C0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41407"/>
    <w:multiLevelType w:val="multilevel"/>
    <w:tmpl w:val="F044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01890"/>
    <w:multiLevelType w:val="multilevel"/>
    <w:tmpl w:val="22A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404933"/>
    <w:multiLevelType w:val="multilevel"/>
    <w:tmpl w:val="C838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400D9E"/>
    <w:multiLevelType w:val="multilevel"/>
    <w:tmpl w:val="49D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56429"/>
    <w:multiLevelType w:val="multilevel"/>
    <w:tmpl w:val="6656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A17557"/>
    <w:multiLevelType w:val="multilevel"/>
    <w:tmpl w:val="AAAC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F3C7468"/>
    <w:multiLevelType w:val="multilevel"/>
    <w:tmpl w:val="FCA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0790290">
    <w:abstractNumId w:val="14"/>
  </w:num>
  <w:num w:numId="2" w16cid:durableId="371198757">
    <w:abstractNumId w:val="10"/>
  </w:num>
  <w:num w:numId="3" w16cid:durableId="149978834">
    <w:abstractNumId w:val="9"/>
  </w:num>
  <w:num w:numId="4" w16cid:durableId="327370055">
    <w:abstractNumId w:val="5"/>
  </w:num>
  <w:num w:numId="5" w16cid:durableId="1487086870">
    <w:abstractNumId w:val="23"/>
  </w:num>
  <w:num w:numId="6" w16cid:durableId="332419876">
    <w:abstractNumId w:val="19"/>
  </w:num>
  <w:num w:numId="7" w16cid:durableId="1884824771">
    <w:abstractNumId w:val="16"/>
  </w:num>
  <w:num w:numId="8" w16cid:durableId="2009483535">
    <w:abstractNumId w:val="24"/>
  </w:num>
  <w:num w:numId="9" w16cid:durableId="2076077649">
    <w:abstractNumId w:val="26"/>
  </w:num>
  <w:num w:numId="10" w16cid:durableId="2093161487">
    <w:abstractNumId w:val="17"/>
  </w:num>
  <w:num w:numId="11" w16cid:durableId="668870267">
    <w:abstractNumId w:val="4"/>
  </w:num>
  <w:num w:numId="12" w16cid:durableId="472873758">
    <w:abstractNumId w:val="1"/>
  </w:num>
  <w:num w:numId="13" w16cid:durableId="1252741862">
    <w:abstractNumId w:val="3"/>
  </w:num>
  <w:num w:numId="14" w16cid:durableId="386878100">
    <w:abstractNumId w:val="0"/>
  </w:num>
  <w:num w:numId="15" w16cid:durableId="857812560">
    <w:abstractNumId w:val="15"/>
  </w:num>
  <w:num w:numId="16" w16cid:durableId="1075467535">
    <w:abstractNumId w:val="22"/>
  </w:num>
  <w:num w:numId="17" w16cid:durableId="1406994299">
    <w:abstractNumId w:val="21"/>
  </w:num>
  <w:num w:numId="18" w16cid:durableId="826868788">
    <w:abstractNumId w:val="18"/>
  </w:num>
  <w:num w:numId="19" w16cid:durableId="1295330182">
    <w:abstractNumId w:val="8"/>
  </w:num>
  <w:num w:numId="20" w16cid:durableId="1073821209">
    <w:abstractNumId w:val="12"/>
  </w:num>
  <w:num w:numId="21" w16cid:durableId="2112704318">
    <w:abstractNumId w:val="2"/>
  </w:num>
  <w:num w:numId="22" w16cid:durableId="1094474847">
    <w:abstractNumId w:val="11"/>
  </w:num>
  <w:num w:numId="23" w16cid:durableId="75513580">
    <w:abstractNumId w:val="20"/>
  </w:num>
  <w:num w:numId="24" w16cid:durableId="260649228">
    <w:abstractNumId w:val="7"/>
  </w:num>
  <w:num w:numId="25" w16cid:durableId="36400319">
    <w:abstractNumId w:val="6"/>
  </w:num>
  <w:num w:numId="26" w16cid:durableId="1740209021">
    <w:abstractNumId w:val="13"/>
  </w:num>
  <w:num w:numId="27" w16cid:durableId="2001812032">
    <w:abstractNumId w:val="2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D9"/>
    <w:rsid w:val="00030474"/>
    <w:rsid w:val="00044228"/>
    <w:rsid w:val="0004713B"/>
    <w:rsid w:val="000A123A"/>
    <w:rsid w:val="000A3285"/>
    <w:rsid w:val="000E5856"/>
    <w:rsid w:val="00104263"/>
    <w:rsid w:val="00116913"/>
    <w:rsid w:val="001179A7"/>
    <w:rsid w:val="001414F8"/>
    <w:rsid w:val="0019658C"/>
    <w:rsid w:val="001A6D31"/>
    <w:rsid w:val="001E1146"/>
    <w:rsid w:val="001E26F0"/>
    <w:rsid w:val="00230D98"/>
    <w:rsid w:val="00251732"/>
    <w:rsid w:val="002611D9"/>
    <w:rsid w:val="002728D9"/>
    <w:rsid w:val="00276646"/>
    <w:rsid w:val="00282FB0"/>
    <w:rsid w:val="002A1897"/>
    <w:rsid w:val="002A2BC6"/>
    <w:rsid w:val="002B213A"/>
    <w:rsid w:val="002C246B"/>
    <w:rsid w:val="002D5205"/>
    <w:rsid w:val="002F4ECC"/>
    <w:rsid w:val="003067AC"/>
    <w:rsid w:val="00315AC9"/>
    <w:rsid w:val="00374133"/>
    <w:rsid w:val="003B00CB"/>
    <w:rsid w:val="00413FC9"/>
    <w:rsid w:val="00416270"/>
    <w:rsid w:val="0048304D"/>
    <w:rsid w:val="004C35E6"/>
    <w:rsid w:val="004E6937"/>
    <w:rsid w:val="0058053E"/>
    <w:rsid w:val="005C20D3"/>
    <w:rsid w:val="005C366C"/>
    <w:rsid w:val="006025D6"/>
    <w:rsid w:val="006069C3"/>
    <w:rsid w:val="006A3990"/>
    <w:rsid w:val="006B4C36"/>
    <w:rsid w:val="006D3565"/>
    <w:rsid w:val="006E57EB"/>
    <w:rsid w:val="006F0A27"/>
    <w:rsid w:val="00712442"/>
    <w:rsid w:val="00735457"/>
    <w:rsid w:val="00754288"/>
    <w:rsid w:val="00762ADF"/>
    <w:rsid w:val="00787D03"/>
    <w:rsid w:val="007C0B69"/>
    <w:rsid w:val="00807846"/>
    <w:rsid w:val="008123E6"/>
    <w:rsid w:val="00842CDB"/>
    <w:rsid w:val="00844089"/>
    <w:rsid w:val="0086357C"/>
    <w:rsid w:val="00877E69"/>
    <w:rsid w:val="00880710"/>
    <w:rsid w:val="008808C0"/>
    <w:rsid w:val="00884C7A"/>
    <w:rsid w:val="00896D1A"/>
    <w:rsid w:val="00897B89"/>
    <w:rsid w:val="008A034B"/>
    <w:rsid w:val="008C64DC"/>
    <w:rsid w:val="008F6E57"/>
    <w:rsid w:val="00901BA0"/>
    <w:rsid w:val="00960D4C"/>
    <w:rsid w:val="009824EB"/>
    <w:rsid w:val="009959C9"/>
    <w:rsid w:val="009B2DA8"/>
    <w:rsid w:val="009C63BE"/>
    <w:rsid w:val="00A31C37"/>
    <w:rsid w:val="00A35338"/>
    <w:rsid w:val="00A766AE"/>
    <w:rsid w:val="00B30A86"/>
    <w:rsid w:val="00B5379C"/>
    <w:rsid w:val="00B77569"/>
    <w:rsid w:val="00B801AA"/>
    <w:rsid w:val="00BA7E5B"/>
    <w:rsid w:val="00BB0440"/>
    <w:rsid w:val="00BB7D72"/>
    <w:rsid w:val="00BC2AC8"/>
    <w:rsid w:val="00C03C45"/>
    <w:rsid w:val="00C306D9"/>
    <w:rsid w:val="00C9335C"/>
    <w:rsid w:val="00CC3EAD"/>
    <w:rsid w:val="00CC53CF"/>
    <w:rsid w:val="00D363A2"/>
    <w:rsid w:val="00D77136"/>
    <w:rsid w:val="00D93602"/>
    <w:rsid w:val="00DA28A3"/>
    <w:rsid w:val="00DC4685"/>
    <w:rsid w:val="00DF1DF9"/>
    <w:rsid w:val="00DF26FF"/>
    <w:rsid w:val="00E047E1"/>
    <w:rsid w:val="00E51634"/>
    <w:rsid w:val="00F4203D"/>
    <w:rsid w:val="00FA0C2C"/>
    <w:rsid w:val="00FD17CD"/>
    <w:rsid w:val="00FE5B9C"/>
    <w:rsid w:val="0277ACC9"/>
    <w:rsid w:val="035D4B22"/>
    <w:rsid w:val="072F8B6E"/>
    <w:rsid w:val="0C5E80F5"/>
    <w:rsid w:val="0E3B1B8F"/>
    <w:rsid w:val="18E6B8DC"/>
    <w:rsid w:val="1E0B9302"/>
    <w:rsid w:val="27368B52"/>
    <w:rsid w:val="291E3591"/>
    <w:rsid w:val="2A107E11"/>
    <w:rsid w:val="2BB587B7"/>
    <w:rsid w:val="3225B36D"/>
    <w:rsid w:val="3826FA85"/>
    <w:rsid w:val="382A3B3A"/>
    <w:rsid w:val="42342FC6"/>
    <w:rsid w:val="491B710D"/>
    <w:rsid w:val="4D17168B"/>
    <w:rsid w:val="5CCACB04"/>
    <w:rsid w:val="5F5F05E0"/>
    <w:rsid w:val="6774CDEC"/>
    <w:rsid w:val="78897294"/>
    <w:rsid w:val="7E7FB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CEC"/>
  <w15:chartTrackingRefBased/>
  <w15:docId w15:val="{40A8A758-E813-4621-AFFF-4B64A9DD4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D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28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28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28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28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D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D9"/>
    <w:pPr>
      <w:spacing w:before="160"/>
      <w:jc w:val="center"/>
    </w:pPr>
    <w:rPr>
      <w:i/>
      <w:iCs/>
      <w:color w:val="404040" w:themeColor="text1" w:themeTint="BF"/>
    </w:rPr>
  </w:style>
  <w:style w:type="character" w:customStyle="1" w:styleId="QuoteChar">
    <w:name w:val="Quote Char"/>
    <w:basedOn w:val="DefaultParagraphFont"/>
    <w:link w:val="Quote"/>
    <w:uiPriority w:val="29"/>
    <w:rsid w:val="002728D9"/>
    <w:rPr>
      <w:i/>
      <w:iCs/>
      <w:color w:val="404040" w:themeColor="text1" w:themeTint="BF"/>
    </w:rPr>
  </w:style>
  <w:style w:type="paragraph" w:styleId="ListParagraph">
    <w:name w:val="List Paragraph"/>
    <w:basedOn w:val="Normal"/>
    <w:uiPriority w:val="34"/>
    <w:qFormat/>
    <w:rsid w:val="002728D9"/>
    <w:pPr>
      <w:ind w:left="720"/>
      <w:contextualSpacing/>
    </w:pPr>
  </w:style>
  <w:style w:type="character" w:styleId="IntenseEmphasis">
    <w:name w:val="Intense Emphasis"/>
    <w:basedOn w:val="DefaultParagraphFont"/>
    <w:uiPriority w:val="21"/>
    <w:qFormat/>
    <w:rsid w:val="002728D9"/>
    <w:rPr>
      <w:i/>
      <w:iCs/>
      <w:color w:val="0F4761" w:themeColor="accent1" w:themeShade="BF"/>
    </w:rPr>
  </w:style>
  <w:style w:type="paragraph" w:styleId="IntenseQuote">
    <w:name w:val="Intense Quote"/>
    <w:basedOn w:val="Normal"/>
    <w:next w:val="Normal"/>
    <w:link w:val="IntenseQuoteChar"/>
    <w:uiPriority w:val="30"/>
    <w:qFormat/>
    <w:rsid w:val="00272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8D9"/>
    <w:rPr>
      <w:i/>
      <w:iCs/>
      <w:color w:val="0F4761" w:themeColor="accent1" w:themeShade="BF"/>
    </w:rPr>
  </w:style>
  <w:style w:type="character" w:styleId="IntenseReference">
    <w:name w:val="Intense Reference"/>
    <w:basedOn w:val="DefaultParagraphFont"/>
    <w:uiPriority w:val="32"/>
    <w:qFormat/>
    <w:rsid w:val="002728D9"/>
    <w:rPr>
      <w:b/>
      <w:bCs/>
      <w:smallCaps/>
      <w:color w:val="0F4761" w:themeColor="accent1" w:themeShade="BF"/>
      <w:spacing w:val="5"/>
    </w:rPr>
  </w:style>
  <w:style w:type="paragraph" w:styleId="Footer">
    <w:name w:val="footer"/>
    <w:basedOn w:val="Normal"/>
    <w:link w:val="FooterChar"/>
    <w:uiPriority w:val="99"/>
    <w:unhideWhenUsed/>
    <w:rsid w:val="006A3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990"/>
  </w:style>
  <w:style w:type="paragraph" w:styleId="Header">
    <w:name w:val="header"/>
    <w:basedOn w:val="Normal"/>
    <w:link w:val="HeaderChar"/>
    <w:uiPriority w:val="99"/>
    <w:semiHidden/>
    <w:unhideWhenUsed/>
    <w:rsid w:val="008440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4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83B828DB95CA40B3B7712D040F2F1A" ma:contentTypeVersion="10" ma:contentTypeDescription="Create a new document." ma:contentTypeScope="" ma:versionID="e387359bc173eee7b5e44cc4211a729e">
  <xsd:schema xmlns:xsd="http://www.w3.org/2001/XMLSchema" xmlns:xs="http://www.w3.org/2001/XMLSchema" xmlns:p="http://schemas.microsoft.com/office/2006/metadata/properties" xmlns:ns2="9c7871c0-ee3a-4167-9f64-aed05450f001" xmlns:ns3="1f6daf0d-3472-4400-9bd3-37ec902c3b44" targetNamespace="http://schemas.microsoft.com/office/2006/metadata/properties" ma:root="true" ma:fieldsID="a5307f580922c854ec519d605fac7ee7" ns2:_="" ns3:_="">
    <xsd:import namespace="9c7871c0-ee3a-4167-9f64-aed05450f001"/>
    <xsd:import namespace="1f6daf0d-3472-4400-9bd3-37ec902c3b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71c0-ee3a-4167-9f64-aed05450f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daf0d-3472-4400-9bd3-37ec902c3b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edd856-1346-4fc7-b4f4-b1bf59575008}" ma:internalName="TaxCatchAll" ma:showField="CatchAllData" ma:web="1f6daf0d-3472-4400-9bd3-37ec902c3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871c0-ee3a-4167-9f64-aed05450f001">
      <Terms xmlns="http://schemas.microsoft.com/office/infopath/2007/PartnerControls"/>
    </lcf76f155ced4ddcb4097134ff3c332f>
    <TaxCatchAll xmlns="1f6daf0d-3472-4400-9bd3-37ec902c3b44" xsi:nil="true"/>
  </documentManagement>
</p:properties>
</file>

<file path=customXml/itemProps1.xml><?xml version="1.0" encoding="utf-8"?>
<ds:datastoreItem xmlns:ds="http://schemas.openxmlformats.org/officeDocument/2006/customXml" ds:itemID="{AD720112-BA15-4EE2-BEDA-9121A643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71c0-ee3a-4167-9f64-aed05450f001"/>
    <ds:schemaRef ds:uri="1f6daf0d-3472-4400-9bd3-37ec902c3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CBA44-02C2-4109-B1DB-2D80FE1CA27C}">
  <ds:schemaRefs>
    <ds:schemaRef ds:uri="http://schemas.microsoft.com/sharepoint/v3/contenttype/forms"/>
  </ds:schemaRefs>
</ds:datastoreItem>
</file>

<file path=customXml/itemProps3.xml><?xml version="1.0" encoding="utf-8"?>
<ds:datastoreItem xmlns:ds="http://schemas.openxmlformats.org/officeDocument/2006/customXml" ds:itemID="{EB7802EE-2CCB-40B7-A990-46D1AD81C1BE}">
  <ds:schemaRefs>
    <ds:schemaRef ds:uri="http://purl.org/dc/dcmitype/"/>
    <ds:schemaRef ds:uri="http://schemas.microsoft.com/office/2006/documentManagement/types"/>
    <ds:schemaRef ds:uri="9c7871c0-ee3a-4167-9f64-aed05450f001"/>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1f6daf0d-3472-4400-9bd3-37ec902c3b44"/>
    <ds:schemaRef ds:uri="http://purl.org/dc/terms/"/>
    <ds:schemaRef ds:uri="http://www.w3.org/XML/1998/namespace"/>
  </ds:schemaRefs>
</ds:datastoreItem>
</file>

<file path=docMetadata/LabelInfo.xml><?xml version="1.0" encoding="utf-8"?>
<clbl:labelList xmlns:clbl="http://schemas.microsoft.com/office/2020/mipLabelMetadata">
  <clbl:label id="{8cc22074-f0d7-42f8-b673-47991cc48ec6}" enabled="1" method="Privileged" siteId="{c9463313-35e1-40e4-944a-dd798ec9e488}"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760</Words>
  <Characters>4702</Characters>
  <Application>Microsoft Office Word</Application>
  <DocSecurity>0</DocSecurity>
  <Lines>261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Hall</dc:creator>
  <cp:keywords/>
  <dc:description/>
  <cp:lastModifiedBy>Colette Riggs</cp:lastModifiedBy>
  <cp:revision>2</cp:revision>
  <dcterms:created xsi:type="dcterms:W3CDTF">2026-01-08T10:00:00Z</dcterms:created>
  <dcterms:modified xsi:type="dcterms:W3CDTF">2026-01-08T10:00:00Z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0x0101004E83B828DB95CA40B3B7712D040F2F1A</vt:lpwstr>
  </property>
  <property fmtid="{D5CDD505-2E9C-101B-9397-08002B2CF9AE}" pid="3" name="docLang">
    <vt:lpwstr>en</vt:lpwstr>
  </property>
  <property fmtid="{D5CDD505-2E9C-101B-9397-08002B2CF9AE}" pid="4" name="MediaServiceImageTags">
    <vt:lpwstr/>
  </property>
</Properties>
</file>