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9365" w14:textId="24AEEBFE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25548A0C" w14:textId="5ED66C93" w:rsidR="002A3B04" w:rsidRPr="00413080" w:rsidRDefault="006604C8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6604C8">
        <w:rPr>
          <w:b/>
          <w:color w:val="005596" w:themeColor="text2"/>
          <w:sz w:val="36"/>
          <w:szCs w:val="36"/>
        </w:rPr>
        <w:t xml:space="preserve">Specialist </w:t>
      </w:r>
      <w:r>
        <w:rPr>
          <w:b/>
          <w:color w:val="005596" w:themeColor="text2"/>
          <w:sz w:val="36"/>
          <w:szCs w:val="36"/>
        </w:rPr>
        <w:t xml:space="preserve">– BCP </w:t>
      </w:r>
      <w:r w:rsidRPr="006604C8">
        <w:rPr>
          <w:b/>
          <w:color w:val="005596" w:themeColor="text2"/>
          <w:sz w:val="36"/>
          <w:szCs w:val="36"/>
        </w:rPr>
        <w:t>Band L</w:t>
      </w:r>
      <w:r w:rsidR="00B84E77">
        <w:rPr>
          <w:b/>
          <w:color w:val="005596" w:themeColor="text2"/>
          <w:sz w:val="36"/>
          <w:szCs w:val="36"/>
        </w:rPr>
        <w:br/>
      </w:r>
    </w:p>
    <w:tbl>
      <w:tblPr>
        <w:tblStyle w:val="MediumList2-Accent1"/>
        <w:tblpPr w:leftFromText="180" w:rightFromText="180" w:vertAnchor="text" w:horzAnchor="margin" w:tblpY="615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466D9654" w14:textId="77777777" w:rsidTr="4DF2402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p w14:paraId="3740A7AE" w14:textId="77777777" w:rsidR="00FE0259" w:rsidRPr="005925D3" w:rsidRDefault="00FE0259" w:rsidP="00413080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907D75" w:rsidRPr="000B28F7" w14:paraId="77F72756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2CDF5E" w14:textId="77777777" w:rsidR="00907D75" w:rsidRPr="00413080" w:rsidRDefault="00907D75" w:rsidP="00844D1A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820498" w14:textId="77777777" w:rsidR="00907D75" w:rsidRPr="003E6E58" w:rsidRDefault="00944675" w:rsidP="009446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DF24028">
              <w:t>Act as the lead in own area, allocating work and providing expert coaching to others in line with strategic objectives in support of their professional development</w:t>
            </w:r>
          </w:p>
        </w:tc>
      </w:tr>
      <w:tr w:rsidR="00907D75" w:rsidRPr="000B28F7" w14:paraId="6A938E1B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5FAD1290" w14:textId="77777777" w:rsidR="00907D75" w:rsidRPr="00413080" w:rsidRDefault="00907D75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1620" w14:textId="77777777" w:rsidR="00907D75" w:rsidRPr="003E6E58" w:rsidRDefault="00907D75" w:rsidP="401640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Contribute to and celebrate the success of the whole team</w:t>
            </w:r>
          </w:p>
        </w:tc>
      </w:tr>
      <w:tr w:rsidR="00907D75" w:rsidRPr="000B28F7" w14:paraId="65E41B22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9BFA2C3" w14:textId="77777777" w:rsidR="00907D75" w:rsidRPr="00413080" w:rsidRDefault="00907D75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7D3DD79" w14:textId="77777777" w:rsidR="00907D75" w:rsidRPr="003E6E58" w:rsidRDefault="00907D75" w:rsidP="4DF24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4DF24028">
              <w:rPr>
                <w:rFonts w:cs="Arial"/>
              </w:rPr>
              <w:t>Encourage and listen to new ideas from everyone and be positive about change</w:t>
            </w:r>
          </w:p>
        </w:tc>
      </w:tr>
      <w:tr w:rsidR="00907D75" w:rsidRPr="000B28F7" w14:paraId="43C7C2EC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AF1DFAF" w14:textId="77777777" w:rsidR="00907D75" w:rsidRPr="00413080" w:rsidRDefault="00907D75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C1F31D7" w14:textId="77777777" w:rsidR="00907D75" w:rsidRPr="003E6E58" w:rsidRDefault="00907D75" w:rsidP="401640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Share open and honest feedback in a constructive manner</w:t>
            </w:r>
          </w:p>
        </w:tc>
      </w:tr>
      <w:tr w:rsidR="000B28F7" w:rsidRPr="000B28F7" w14:paraId="397A0C44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8DABF4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130A8FC7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73A7A7F" w14:textId="77777777" w:rsidR="000B28F7" w:rsidRPr="003E6E58" w:rsidRDefault="00E365DD" w:rsidP="38CA895B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401640FC">
              <w:rPr>
                <w:rFonts w:cs="Arial"/>
              </w:rPr>
              <w:t xml:space="preserve">Relevant degree </w:t>
            </w:r>
            <w:r w:rsidR="000B28F7" w:rsidRPr="401640FC">
              <w:rPr>
                <w:rFonts w:cs="Arial"/>
              </w:rPr>
              <w:t>(or equivalent experience)</w:t>
            </w:r>
          </w:p>
        </w:tc>
      </w:tr>
      <w:tr w:rsidR="00B367DA" w:rsidRPr="000B28F7" w14:paraId="293B8405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1A35540A" w14:textId="77777777" w:rsidR="00B367DA" w:rsidRPr="00413080" w:rsidRDefault="00B367DA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AE5B41D" w14:textId="77777777" w:rsidR="00B367DA" w:rsidRPr="003E6E58" w:rsidRDefault="0008614F" w:rsidP="4DF2402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4DF24028">
              <w:rPr>
                <w:rFonts w:cs="Arial"/>
              </w:rPr>
              <w:t>Advanced r</w:t>
            </w:r>
            <w:r w:rsidR="00B367DA" w:rsidRPr="4DF24028">
              <w:rPr>
                <w:rFonts w:cs="Arial"/>
              </w:rPr>
              <w:t>elevant professional qualification (or equivalent experience) with clearly evidenced continuous professional development and understanding of industry best practice and broader commercial awareness</w:t>
            </w:r>
          </w:p>
        </w:tc>
      </w:tr>
      <w:tr w:rsidR="0008614F" w:rsidRPr="000B28F7" w14:paraId="7AE969CB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B44723B" w14:textId="77777777" w:rsidR="0008614F" w:rsidRPr="00413080" w:rsidRDefault="0008614F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BDF2709" w14:textId="77777777" w:rsidR="0008614F" w:rsidRPr="003E6E58" w:rsidRDefault="0008614F" w:rsidP="4DF2402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4DF24028">
              <w:t>Extensive relevant work experience</w:t>
            </w:r>
            <w:r w:rsidR="00093C47" w:rsidRPr="4DF24028">
              <w:t xml:space="preserve"> in a complex specialism</w:t>
            </w:r>
            <w:r w:rsidRPr="4DF24028">
              <w:t>, demonstrating prac</w:t>
            </w:r>
            <w:r w:rsidR="00093C47" w:rsidRPr="4DF24028">
              <w:t>tical and theoretical knowledge</w:t>
            </w:r>
          </w:p>
        </w:tc>
      </w:tr>
      <w:tr w:rsidR="000B28F7" w:rsidRPr="000B28F7" w14:paraId="71DC9184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78C95AB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756A3F4" w14:textId="77777777" w:rsidR="000B28F7" w:rsidRPr="003E6E58" w:rsidRDefault="000B28F7" w:rsidP="4DF2402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4DF24028">
              <w:rPr>
                <w:rFonts w:cs="Arial"/>
              </w:rPr>
              <w:t>Good knowledge of ICT including Excel, Word, Outlook and other programmes relevant to the role</w:t>
            </w:r>
          </w:p>
        </w:tc>
      </w:tr>
      <w:tr w:rsidR="000B28F7" w:rsidRPr="000B28F7" w14:paraId="0B899FB0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5C778E7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0760AD0" w14:textId="77777777" w:rsidR="000B28F7" w:rsidRPr="003E6E58" w:rsidRDefault="00944675" w:rsidP="4DF24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4DF24028">
              <w:rPr>
                <w:rFonts w:cs="Arial"/>
              </w:rPr>
              <w:t xml:space="preserve">Deep specialised knowledge and expertise of the work practices, processes and procedures (including legal and regulatory requirements and the risks of </w:t>
            </w:r>
            <w:proofErr w:type="spellStart"/>
            <w:proofErr w:type="gramStart"/>
            <w:r w:rsidRPr="4DF24028">
              <w:rPr>
                <w:rFonts w:cs="Arial"/>
              </w:rPr>
              <w:t>non compliance</w:t>
            </w:r>
            <w:proofErr w:type="spellEnd"/>
            <w:proofErr w:type="gramEnd"/>
            <w:r w:rsidRPr="4DF24028">
              <w:rPr>
                <w:rFonts w:cs="Arial"/>
              </w:rPr>
              <w:t>) relevant to own area of work, gained through extensive experience and including broader commercial awareness</w:t>
            </w:r>
          </w:p>
        </w:tc>
      </w:tr>
      <w:tr w:rsidR="000B28F7" w:rsidRPr="000B28F7" w14:paraId="14D6B3BB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9BFD969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0046D03" w14:textId="77777777" w:rsidR="000B28F7" w:rsidRPr="003E6E58" w:rsidRDefault="0008614F" w:rsidP="4DF2402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4DF24028">
              <w:rPr>
                <w:rFonts w:cs="Arial"/>
              </w:rPr>
              <w:t xml:space="preserve">Flexible approach to a complex and </w:t>
            </w:r>
            <w:proofErr w:type="gramStart"/>
            <w:r w:rsidRPr="4DF24028">
              <w:rPr>
                <w:rFonts w:cs="Arial"/>
              </w:rPr>
              <w:t>high risk</w:t>
            </w:r>
            <w:proofErr w:type="gramEnd"/>
            <w:r w:rsidRPr="4DF24028">
              <w:rPr>
                <w:rFonts w:cs="Arial"/>
              </w:rPr>
              <w:t xml:space="preserve"> case load, considering in advance different customer needs and adapting communications accordingly</w:t>
            </w:r>
          </w:p>
        </w:tc>
      </w:tr>
      <w:tr w:rsidR="000B28F7" w:rsidRPr="000B28F7" w14:paraId="2B71C166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BB9C3C9" w14:textId="77777777" w:rsidR="000B28F7" w:rsidRPr="00413080" w:rsidRDefault="000B28F7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098A7FE" w14:textId="77777777" w:rsidR="000B28F7" w:rsidRPr="003E6E58" w:rsidRDefault="00ED3C63" w:rsidP="401640F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401640FC">
              <w:rPr>
                <w:rFonts w:cs="Arial"/>
              </w:rPr>
              <w:t xml:space="preserve">Provide complex and specialist advice on a range of significant or multi-disciplinary </w:t>
            </w:r>
            <w:r w:rsidR="00907D75" w:rsidRPr="401640FC">
              <w:rPr>
                <w:rFonts w:cs="Arial"/>
              </w:rPr>
              <w:t>issues</w:t>
            </w:r>
          </w:p>
        </w:tc>
      </w:tr>
      <w:tr w:rsidR="00865FAC" w:rsidRPr="000B28F7" w14:paraId="2884C8C9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46151EED" w14:textId="77777777" w:rsidR="00865FAC" w:rsidRPr="00413080" w:rsidRDefault="00865FAC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3503EC5" w14:textId="77777777" w:rsidR="00865FAC" w:rsidRPr="003E6E58" w:rsidRDefault="00865FAC" w:rsidP="401640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4DF24028">
              <w:t xml:space="preserve">Analyse data and interpret customer information, highlighting relevant trends or issues to managers </w:t>
            </w:r>
            <w:proofErr w:type="gramStart"/>
            <w:r w:rsidRPr="4DF24028">
              <w:t>in order to</w:t>
            </w:r>
            <w:proofErr w:type="gramEnd"/>
            <w:r w:rsidRPr="4DF24028">
              <w:t xml:space="preserve"> support informed decision making</w:t>
            </w:r>
          </w:p>
        </w:tc>
      </w:tr>
      <w:tr w:rsidR="00ED3C63" w:rsidRPr="000B28F7" w14:paraId="7CD7492C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right w:val="single" w:sz="4" w:space="0" w:color="auto"/>
            </w:tcBorders>
          </w:tcPr>
          <w:p w14:paraId="091789DC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710714B" w14:textId="77777777" w:rsidR="00ED3C63" w:rsidRPr="003E6E58" w:rsidRDefault="00ED3C63" w:rsidP="4016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DF24028">
              <w:t xml:space="preserve">Co-ordinate processes and systems in relation to </w:t>
            </w:r>
            <w:proofErr w:type="gramStart"/>
            <w:r w:rsidRPr="4DF24028">
              <w:t>work flow</w:t>
            </w:r>
            <w:proofErr w:type="gramEnd"/>
            <w:r w:rsidRPr="4DF24028">
              <w:t xml:space="preserve"> management</w:t>
            </w:r>
          </w:p>
        </w:tc>
      </w:tr>
      <w:tr w:rsidR="00ED3C63" w:rsidRPr="000B28F7" w14:paraId="01461446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A1F11A5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44F4E01A" w14:textId="77777777" w:rsidR="00ED3C63" w:rsidRPr="003E6E58" w:rsidRDefault="00ED3C63" w:rsidP="401640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Present information and recommendations in a focussed and engaging way</w:t>
            </w:r>
          </w:p>
        </w:tc>
      </w:tr>
      <w:tr w:rsidR="00ED3C63" w:rsidRPr="000B28F7" w14:paraId="7555DDC1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8847833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D043444" w14:textId="77777777" w:rsidR="00ED3C63" w:rsidRPr="003E6E58" w:rsidRDefault="00ED3C63" w:rsidP="401640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management experience</w:t>
            </w:r>
          </w:p>
        </w:tc>
      </w:tr>
      <w:tr w:rsidR="00ED3C63" w:rsidRPr="000B28F7" w14:paraId="01080EB7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A293922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81CFA8" w14:textId="77777777" w:rsidR="00ED3C63" w:rsidRPr="003E6E58" w:rsidRDefault="00ED3C63" w:rsidP="401640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401640FC">
              <w:rPr>
                <w:rFonts w:cs="Arial"/>
              </w:rPr>
              <w:t>Knowledge of effective change and stakeholder management principles</w:t>
            </w:r>
          </w:p>
        </w:tc>
      </w:tr>
      <w:tr w:rsidR="00ED3C63" w:rsidRPr="000B28F7" w14:paraId="03A52BAB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293C2D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F65EF2" w14:textId="77777777" w:rsidR="00ED3C63" w:rsidRPr="003E6E58" w:rsidRDefault="00ED3C63" w:rsidP="4DF240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4DF24028">
              <w:t xml:space="preserve">Use curiosity about the way things are done to </w:t>
            </w:r>
            <w:r w:rsidRPr="4DF24028">
              <w:rPr>
                <w:rFonts w:cs="Arial"/>
              </w:rPr>
              <w:t>recommend, create and implement more effective ways of working that will enhance customer experience</w:t>
            </w:r>
          </w:p>
        </w:tc>
      </w:tr>
      <w:tr w:rsidR="00ED3C63" w:rsidRPr="000B28F7" w14:paraId="05129D39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288EE5C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D4090" w14:textId="77777777" w:rsidR="00ED3C63" w:rsidRPr="003E6E58" w:rsidRDefault="00ED3C63" w:rsidP="4DF24028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4DF24028">
              <w:rPr>
                <w:rFonts w:cs="Arial"/>
              </w:rPr>
              <w:t>Use effective interpersonal skills to develop solutions to complex or contentious problems where there are a range of options and the information is unclear or conflicting</w:t>
            </w:r>
          </w:p>
        </w:tc>
      </w:tr>
      <w:tr w:rsidR="00ED3C63" w:rsidRPr="000B28F7" w14:paraId="7C5F4C89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6263D12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4019934" w14:textId="77777777" w:rsidR="00ED3C63" w:rsidRPr="003E6E58" w:rsidRDefault="00ED3C63" w:rsidP="4016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DF24028">
              <w:t>Work in partnership with other areas to identify, recommend, and develop improvements to the efficiency and continuity of own area of work</w:t>
            </w:r>
          </w:p>
        </w:tc>
      </w:tr>
      <w:tr w:rsidR="00ED3C63" w:rsidRPr="000B28F7" w14:paraId="1AA6CAE0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F080C4B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CC8213" w14:textId="77777777" w:rsidR="00ED3C63" w:rsidRPr="003E6E58" w:rsidRDefault="00ED3C63" w:rsidP="38CA895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401640FC">
              <w:rPr>
                <w:rFonts w:cs="Arial"/>
              </w:rPr>
              <w:t>Shape the strategic direction of own area by recommending and implementing change using information and data from customers</w:t>
            </w:r>
          </w:p>
        </w:tc>
      </w:tr>
      <w:tr w:rsidR="00ED3C63" w:rsidRPr="000B28F7" w14:paraId="7A40AFA8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C1C127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4D4017" w14:textId="77777777" w:rsidR="65C8DE24" w:rsidRDefault="65C8DE24" w:rsidP="65C8DE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65C8DE24">
              <w:rPr>
                <w:rFonts w:cs="Arial"/>
              </w:rPr>
              <w:t>Develop relationships with customers which will have a direct impact on the service</w:t>
            </w:r>
          </w:p>
        </w:tc>
      </w:tr>
      <w:tr w:rsidR="00ED3C63" w:rsidRPr="000B28F7" w14:paraId="7C9020DA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1E9FC508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ECF06" w14:textId="77777777" w:rsidR="65C8DE24" w:rsidRDefault="65C8D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4DF24028">
              <w:t>Seek to resolve any barriers to collaborating with others by communicating openly and challenging unhelpful behaviour</w:t>
            </w:r>
          </w:p>
        </w:tc>
      </w:tr>
      <w:tr w:rsidR="006C06ED" w:rsidRPr="000B28F7" w14:paraId="69F64195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404953CA" w14:textId="77777777" w:rsidR="006C06ED" w:rsidRPr="00413080" w:rsidRDefault="006C06ED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9FC2126" w14:textId="77777777" w:rsidR="65C8DE24" w:rsidRDefault="65C8D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Appreciate diversity in both customers and colleagues and consider their specific needs</w:t>
            </w:r>
          </w:p>
        </w:tc>
      </w:tr>
      <w:tr w:rsidR="00ED3C63" w:rsidRPr="000B28F7" w14:paraId="0D47C754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273EE532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B7E9A44" w14:textId="77777777" w:rsidR="65C8DE24" w:rsidRDefault="65C8D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breadth or depth of knowledge through exposure to different activities and by learning from or shadowing more experienced colleagues</w:t>
            </w:r>
          </w:p>
        </w:tc>
      </w:tr>
      <w:tr w:rsidR="00ED3C63" w:rsidRPr="000B28F7" w14:paraId="37EB75DA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15B6996A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36E032C" w14:textId="77777777" w:rsidR="65C8DE24" w:rsidRDefault="65C8DE24" w:rsidP="65C8D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65C8DE24">
              <w:rPr>
                <w:rFonts w:cs="Arial"/>
              </w:rPr>
              <w:t>Represent and promote own area of work, providing specialist input and handling questions or objections</w:t>
            </w:r>
          </w:p>
        </w:tc>
      </w:tr>
      <w:tr w:rsidR="00ED3C63" w:rsidRPr="000B28F7" w14:paraId="7F03D7A1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5F151086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A766EB" w14:textId="77777777" w:rsidR="65C8DE24" w:rsidRDefault="65C8DE24" w:rsidP="65C8D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65C8DE24">
              <w:rPr>
                <w:rFonts w:cs="Arial"/>
              </w:rPr>
              <w:t>Build and present a case, influencing and engaging with stakeholders who may have differing opinions</w:t>
            </w:r>
          </w:p>
        </w:tc>
      </w:tr>
      <w:tr w:rsidR="00ED3C63" w:rsidRPr="000B28F7" w14:paraId="4F4BBE3D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14:paraId="51743E2A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81A2B4" w14:textId="77777777" w:rsidR="00ED3C63" w:rsidRPr="003E6E58" w:rsidRDefault="00ED3C63" w:rsidP="0039513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6E58">
              <w:rPr>
                <w:szCs w:val="22"/>
              </w:rPr>
              <w:t>Make evidence based and outcome focussed decisions about how policies are delivered using proactive risk management, without the need to refer complex decisions to a manager</w:t>
            </w:r>
          </w:p>
        </w:tc>
      </w:tr>
      <w:tr w:rsidR="00ED3C63" w:rsidRPr="000B28F7" w14:paraId="56D6A790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27CE04E6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59EC41F" w14:textId="77777777" w:rsidR="00ED3C63" w:rsidRPr="003E6E58" w:rsidRDefault="00ED3C63" w:rsidP="00395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3E6E58">
              <w:rPr>
                <w:szCs w:val="22"/>
              </w:rPr>
              <w:t>Within guidelines, deploy resources when necessary to respond to customer problems or emergency situations</w:t>
            </w:r>
          </w:p>
        </w:tc>
      </w:tr>
      <w:tr w:rsidR="00ED3C63" w:rsidRPr="000B28F7" w14:paraId="1ED0CBE2" w14:textId="77777777" w:rsidTr="4DF2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14:paraId="03E7120A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ABAB20" w14:textId="77777777" w:rsidR="00ED3C63" w:rsidRPr="003E6E58" w:rsidRDefault="00ED3C63" w:rsidP="0039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6E58">
              <w:rPr>
                <w:rFonts w:cs="Arial"/>
                <w:szCs w:val="22"/>
              </w:rPr>
              <w:t>Lead or contribute to project work</w:t>
            </w:r>
          </w:p>
        </w:tc>
      </w:tr>
      <w:tr w:rsidR="00ED3C63" w:rsidRPr="000B28F7" w14:paraId="52560DFF" w14:textId="77777777" w:rsidTr="4DF24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E19" w14:textId="77777777" w:rsidR="00ED3C63" w:rsidRPr="00413080" w:rsidRDefault="00ED3C63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E9C7C" w14:textId="77777777" w:rsidR="00ED3C63" w:rsidRPr="003E6E58" w:rsidRDefault="00ED3C63" w:rsidP="0039513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4DF24028">
              <w:t>Plan and organise own workload in an environment of constant change and where there are competing demands that require a high level of mental dexterity</w:t>
            </w:r>
          </w:p>
        </w:tc>
      </w:tr>
    </w:tbl>
    <w:p w14:paraId="4A63DE61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</w:p>
    <w:sectPr w:rsidR="00942969" w:rsidRPr="002A3B04" w:rsidSect="005925D3">
      <w:footerReference w:type="default" r:id="rId10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7B21" w14:textId="77777777" w:rsidR="00EF427D" w:rsidRDefault="00EF427D" w:rsidP="00852D23">
      <w:r>
        <w:separator/>
      </w:r>
    </w:p>
  </w:endnote>
  <w:endnote w:type="continuationSeparator" w:id="0">
    <w:p w14:paraId="24A71FB1" w14:textId="77777777" w:rsidR="00EF427D" w:rsidRDefault="00EF427D" w:rsidP="008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BF80" w14:textId="77777777" w:rsidR="00852D23" w:rsidRDefault="00852D23">
    <w:pPr>
      <w:pStyle w:val="Footer"/>
    </w:pPr>
  </w:p>
  <w:p w14:paraId="2142F376" w14:textId="77777777" w:rsidR="007D1B5C" w:rsidRDefault="007D1B5C" w:rsidP="007D1B5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–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68FA8" w14:textId="77777777" w:rsidR="00EF427D" w:rsidRDefault="00EF427D" w:rsidP="00852D23">
      <w:r>
        <w:separator/>
      </w:r>
    </w:p>
  </w:footnote>
  <w:footnote w:type="continuationSeparator" w:id="0">
    <w:p w14:paraId="65415AB8" w14:textId="77777777" w:rsidR="00EF427D" w:rsidRDefault="00EF427D" w:rsidP="0085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8DE"/>
    <w:multiLevelType w:val="hybridMultilevel"/>
    <w:tmpl w:val="4E98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19311">
    <w:abstractNumId w:val="1"/>
  </w:num>
  <w:num w:numId="2" w16cid:durableId="1053238589">
    <w:abstractNumId w:val="2"/>
  </w:num>
  <w:num w:numId="3" w16cid:durableId="636489564">
    <w:abstractNumId w:val="3"/>
  </w:num>
  <w:num w:numId="4" w16cid:durableId="12995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4D04"/>
    <w:rsid w:val="000577D1"/>
    <w:rsid w:val="00057D26"/>
    <w:rsid w:val="0008614F"/>
    <w:rsid w:val="00093C47"/>
    <w:rsid w:val="000B28F7"/>
    <w:rsid w:val="000C5C3F"/>
    <w:rsid w:val="000F2F72"/>
    <w:rsid w:val="00131CC0"/>
    <w:rsid w:val="00140870"/>
    <w:rsid w:val="001640C4"/>
    <w:rsid w:val="00221B0E"/>
    <w:rsid w:val="002545FB"/>
    <w:rsid w:val="00262983"/>
    <w:rsid w:val="00280582"/>
    <w:rsid w:val="002A3B04"/>
    <w:rsid w:val="002C732A"/>
    <w:rsid w:val="003151F5"/>
    <w:rsid w:val="003435C7"/>
    <w:rsid w:val="003673B6"/>
    <w:rsid w:val="00371CD4"/>
    <w:rsid w:val="003E6E58"/>
    <w:rsid w:val="00413080"/>
    <w:rsid w:val="00447E22"/>
    <w:rsid w:val="00472E55"/>
    <w:rsid w:val="005214F3"/>
    <w:rsid w:val="005925D3"/>
    <w:rsid w:val="005D7ACE"/>
    <w:rsid w:val="006604C8"/>
    <w:rsid w:val="006717CF"/>
    <w:rsid w:val="006A1F12"/>
    <w:rsid w:val="006C06ED"/>
    <w:rsid w:val="006F0FB7"/>
    <w:rsid w:val="0071002E"/>
    <w:rsid w:val="007B3689"/>
    <w:rsid w:val="007D1B5C"/>
    <w:rsid w:val="00852D23"/>
    <w:rsid w:val="00865FAC"/>
    <w:rsid w:val="00907D75"/>
    <w:rsid w:val="00936453"/>
    <w:rsid w:val="00942969"/>
    <w:rsid w:val="00944675"/>
    <w:rsid w:val="009B57CB"/>
    <w:rsid w:val="009F2B5B"/>
    <w:rsid w:val="00A76DAA"/>
    <w:rsid w:val="00A92CCA"/>
    <w:rsid w:val="00AF5DC5"/>
    <w:rsid w:val="00B22BC5"/>
    <w:rsid w:val="00B367DA"/>
    <w:rsid w:val="00B4764C"/>
    <w:rsid w:val="00B77BB1"/>
    <w:rsid w:val="00B84E77"/>
    <w:rsid w:val="00BA09B0"/>
    <w:rsid w:val="00BC0C40"/>
    <w:rsid w:val="00C26D71"/>
    <w:rsid w:val="00D31BF6"/>
    <w:rsid w:val="00D874BC"/>
    <w:rsid w:val="00D92867"/>
    <w:rsid w:val="00DF2E4C"/>
    <w:rsid w:val="00E365DD"/>
    <w:rsid w:val="00ED3C63"/>
    <w:rsid w:val="00EF427D"/>
    <w:rsid w:val="00F62D59"/>
    <w:rsid w:val="00F65188"/>
    <w:rsid w:val="00FE0259"/>
    <w:rsid w:val="01E64F51"/>
    <w:rsid w:val="0B74093A"/>
    <w:rsid w:val="242C4451"/>
    <w:rsid w:val="372EB8FA"/>
    <w:rsid w:val="38CA895B"/>
    <w:rsid w:val="401640FC"/>
    <w:rsid w:val="4DF24028"/>
    <w:rsid w:val="62C68D6A"/>
    <w:rsid w:val="65C8D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F2AB"/>
  <w15:docId w15:val="{2B65C0CA-D680-446C-9FD2-8CD8BEC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52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23"/>
  </w:style>
  <w:style w:type="paragraph" w:styleId="Footer">
    <w:name w:val="footer"/>
    <w:basedOn w:val="Normal"/>
    <w:link w:val="FooterChar"/>
    <w:uiPriority w:val="99"/>
    <w:unhideWhenUsed/>
    <w:rsid w:val="00852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9ad74c2-b99b-4838-b1ca-22dd9067b100">Pay Pensions &amp; Benefits</Category>
    <Doc_x0020_Type xmlns="b9ad74c2-b99b-4838-b1ca-22dd9067b100">Guidance</Doc_x0020_Type>
    <SharedWithUsers xmlns="496389df-7c0f-4d87-80a3-ab5d257a0d74">
      <UserInfo>
        <DisplayName>Seamus Bowerman-Ellis</DisplayName>
        <AccountId>523</AccountId>
        <AccountType/>
      </UserInfo>
      <UserInfo>
        <DisplayName>Nicky Mitchell</DisplayName>
        <AccountId>589</AccountId>
        <AccountType/>
      </UserInfo>
      <UserInfo>
        <DisplayName>Amy Hurst</DisplayName>
        <AccountId>1070</AccountId>
        <AccountType/>
      </UserInfo>
      <UserInfo>
        <DisplayName>Rachel Gravett</DisplayName>
        <AccountId>2401</AccountId>
        <AccountType/>
      </UserInfo>
      <UserInfo>
        <DisplayName>Tammy Lawrence</DisplayName>
        <AccountId>5640</AccountId>
        <AccountType/>
      </UserInfo>
    </SharedWithUsers>
    <lcf76f155ced4ddcb4097134ff3c332f xmlns="b9ad74c2-b99b-4838-b1ca-22dd9067b100">
      <Terms xmlns="http://schemas.microsoft.com/office/infopath/2007/PartnerControls"/>
    </lcf76f155ced4ddcb4097134ff3c332f>
    <TaxCatchAll xmlns="496389df-7c0f-4d87-80a3-ab5d257a0d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4389C509FC943AB5025D48DCB3DB8" ma:contentTypeVersion="19" ma:contentTypeDescription="Create a new document." ma:contentTypeScope="" ma:versionID="f81002e88d71ab2a62ecd5cde1eec5b9">
  <xsd:schema xmlns:xsd="http://www.w3.org/2001/XMLSchema" xmlns:xs="http://www.w3.org/2001/XMLSchema" xmlns:p="http://schemas.microsoft.com/office/2006/metadata/properties" xmlns:ns2="b9ad74c2-b99b-4838-b1ca-22dd9067b100" xmlns:ns3="496389df-7c0f-4d87-80a3-ab5d257a0d74" targetNamespace="http://schemas.microsoft.com/office/2006/metadata/properties" ma:root="true" ma:fieldsID="cd508111195bd7f1e3bf00d01861a0e7" ns2:_="" ns3:_="">
    <xsd:import namespace="b9ad74c2-b99b-4838-b1ca-22dd9067b100"/>
    <xsd:import namespace="496389df-7c0f-4d87-80a3-ab5d257a0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2:MediaServiceDateTaken" minOccurs="0"/>
                <xsd:element ref="ns2:Doc_x0020_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74c2-b99b-4838-b1ca-22dd9067b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HR Systems"/>
          <xsd:enumeration value="Learning &amp; Development"/>
          <xsd:enumeration value="My Employment"/>
          <xsd:enumeration value="Pay Pensions &amp; Benefits"/>
          <xsd:enumeration value="Performance Management"/>
          <xsd:enumeration value="Recruitment &amp; Induction"/>
          <xsd:enumeration value="Wellbeing"/>
          <xsd:enumeration value="Equality Diversity &amp; Inclusion"/>
          <xsd:enumeration value="Time Off"/>
          <xsd:enumeration value="HR Handbook"/>
          <xsd:enumeration value="Former Council Policies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Doc_x0020_Type" ma:index="12" nillable="true" ma:displayName="Doc Type" ma:format="RadioButtons" ma:internalName="Doc_x0020_Type">
      <xsd:simpleType>
        <xsd:restriction base="dms:Choice">
          <xsd:enumeration value="Form / Template"/>
          <xsd:enumeration value="Guidance"/>
          <xsd:enumeration value="Other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389df-7c0f-4d87-80a3-ab5d257a0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8d3657-d849-4ec1-b741-7ce7b82ded05}" ma:internalName="TaxCatchAll" ma:showField="CatchAllData" ma:web="496389df-7c0f-4d87-80a3-ab5d257a0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ECBDD-11CF-4259-88A3-0202F310BC62}">
  <ds:schemaRefs>
    <ds:schemaRef ds:uri="http://schemas.microsoft.com/office/2006/metadata/properties"/>
    <ds:schemaRef ds:uri="http://schemas.microsoft.com/office/infopath/2007/PartnerControls"/>
    <ds:schemaRef ds:uri="b9ad74c2-b99b-4838-b1ca-22dd9067b100"/>
    <ds:schemaRef ds:uri="496389df-7c0f-4d87-80a3-ab5d257a0d74"/>
  </ds:schemaRefs>
</ds:datastoreItem>
</file>

<file path=customXml/itemProps2.xml><?xml version="1.0" encoding="utf-8"?>
<ds:datastoreItem xmlns:ds="http://schemas.openxmlformats.org/officeDocument/2006/customXml" ds:itemID="{EAFE71FB-40FE-43C1-B6F8-09C712D2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74c2-b99b-4838-b1ca-22dd9067b100"/>
    <ds:schemaRef ds:uri="496389df-7c0f-4d87-80a3-ab5d257a0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96313-5FCA-40D9-AFC9-70F498BE7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>Borough of Poole Council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Amy Lloyd</cp:lastModifiedBy>
  <cp:revision>2</cp:revision>
  <cp:lastPrinted>2017-10-27T12:35:00Z</cp:lastPrinted>
  <dcterms:created xsi:type="dcterms:W3CDTF">2025-07-08T15:17:00Z</dcterms:created>
  <dcterms:modified xsi:type="dcterms:W3CDTF">2025-07-08T15:17:00Z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0x0101002014389C509FC943AB5025D48DCB3DB8</vt:lpwstr>
  </property>
  <property fmtid="{D5CDD505-2E9C-101B-9397-08002B2CF9AE}" pid="3" name="Policy / Guidance">
    <vt:lpwstr>Guidance</vt:lpwstr>
  </property>
  <property fmtid="{D5CDD505-2E9C-101B-9397-08002B2CF9AE}" pid="4" name="Order">
    <vt:r8>10100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