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7153E0E2" w14:textId="7B4707BC" w:rsidR="0004713B" w:rsidRPr="00276646" w:rsidRDefault="00392B1F" w:rsidP="0004713B">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Engagemen</w:t>
            </w:r>
            <w:r w:rsidR="005C02C8">
              <w:rPr>
                <w:rFonts w:eastAsia="Times New Roman"/>
                <w:color w:val="000000"/>
                <w:kern w:val="0"/>
                <w:lang w:eastAsia="en-GB"/>
                <w14:ligatures w14:val="none"/>
              </w:rPr>
              <w:t xml:space="preserve">t Officer </w:t>
            </w:r>
          </w:p>
          <w:p w14:paraId="75991BBD" w14:textId="77777777" w:rsidR="0004713B" w:rsidRPr="00276646" w:rsidRDefault="0004713B" w:rsidP="00FE5B9C">
            <w:pPr>
              <w:spacing w:after="0" w:line="240" w:lineRule="auto"/>
              <w:rPr>
                <w:rFonts w:eastAsia="Times New Roman"/>
                <w:color w:val="000000"/>
                <w:kern w:val="0"/>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0004713B">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Ref:</w:t>
            </w:r>
          </w:p>
        </w:tc>
        <w:tc>
          <w:tcPr>
            <w:tcW w:w="6304" w:type="dxa"/>
            <w:tcBorders>
              <w:top w:val="single" w:sz="7" w:space="0" w:color="auto"/>
              <w:left w:val="nil"/>
              <w:bottom w:val="single" w:sz="3" w:space="0" w:color="auto"/>
              <w:right w:val="single" w:sz="7" w:space="0" w:color="auto"/>
            </w:tcBorders>
            <w:vAlign w:val="center"/>
          </w:tcPr>
          <w:p w14:paraId="44C1BE3C" w14:textId="22F2949F" w:rsidR="0004713B" w:rsidRPr="00276646" w:rsidRDefault="005C02C8" w:rsidP="035D4B22">
            <w:pPr>
              <w:spacing w:after="0" w:line="240" w:lineRule="auto"/>
              <w:rPr>
                <w:rFonts w:eastAsia="Arial"/>
                <w:kern w:val="0"/>
                <w14:ligatures w14:val="none"/>
              </w:rPr>
            </w:pPr>
            <w:r>
              <w:rPr>
                <w:rFonts w:eastAsia="Arial"/>
                <w:kern w:val="0"/>
                <w14:ligatures w14:val="none"/>
              </w:rPr>
              <w:t>MUL132</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122A1E63" w14:textId="39CFD144" w:rsidR="00104263" w:rsidRPr="00276646" w:rsidRDefault="005C02C8" w:rsidP="00FE5B9C">
            <w:pPr>
              <w:spacing w:after="0"/>
              <w:rPr>
                <w:rFonts w:eastAsia="Times New Roman"/>
                <w:color w:val="000000"/>
                <w:kern w:val="0"/>
                <w:lang w:eastAsia="en-GB"/>
                <w14:ligatures w14:val="none"/>
              </w:rPr>
            </w:pPr>
            <w:r>
              <w:rPr>
                <w:rFonts w:eastAsia="Times New Roman"/>
                <w:color w:val="000000"/>
                <w:kern w:val="0"/>
                <w:lang w:eastAsia="en-GB"/>
                <w14:ligatures w14:val="none"/>
              </w:rPr>
              <w:t xml:space="preserve">Learning Officer II </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3EB49A42" w14:textId="77B28C12" w:rsidR="00104263" w:rsidRPr="00276646" w:rsidRDefault="005C02C8"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Property and Customer </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6304" w:type="dxa"/>
            <w:tcBorders>
              <w:top w:val="nil"/>
              <w:left w:val="nil"/>
              <w:bottom w:val="single" w:sz="7" w:space="0" w:color="auto"/>
              <w:right w:val="single" w:sz="7" w:space="0" w:color="auto"/>
            </w:tcBorders>
            <w:vAlign w:val="center"/>
            <w:hideMark/>
          </w:tcPr>
          <w:p w14:paraId="58B80214" w14:textId="0FB87A32" w:rsidR="00104263" w:rsidRPr="00276646" w:rsidRDefault="005C02C8"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Museum Service </w:t>
            </w:r>
          </w:p>
          <w:p w14:paraId="26349581" w14:textId="137A7DA2" w:rsidR="00104263" w:rsidRPr="00276646" w:rsidRDefault="00104263" w:rsidP="00104263">
            <w:pPr>
              <w:spacing w:after="0" w:line="240" w:lineRule="auto"/>
              <w:rPr>
                <w:rFonts w:eastAsia="Times New Roman"/>
                <w:color w:val="000000"/>
                <w:kern w:val="0"/>
                <w:lang w:eastAsia="en-GB"/>
                <w14:ligatures w14:val="none"/>
              </w:rPr>
            </w:pPr>
          </w:p>
        </w:tc>
      </w:tr>
    </w:tbl>
    <w:p w14:paraId="2FD20B46" w14:textId="01EA3D22" w:rsidR="002728D9" w:rsidRPr="00276646" w:rsidRDefault="002728D9" w:rsidP="002728D9"/>
    <w:tbl>
      <w:tblPr>
        <w:tblW w:w="9161"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tblGrid>
      <w:tr w:rsidR="002728D9" w:rsidRPr="002728D9" w14:paraId="3801DABA" w14:textId="77777777" w:rsidTr="4CA1D5F9">
        <w:trPr>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4CA1D5F9">
        <w:trPr>
          <w:trHeight w:val="1950"/>
        </w:trPr>
        <w:tc>
          <w:tcPr>
            <w:tcW w:w="9161" w:type="dxa"/>
            <w:gridSpan w:val="2"/>
            <w:tcBorders>
              <w:top w:val="nil"/>
              <w:left w:val="single" w:sz="6" w:space="0" w:color="auto"/>
              <w:bottom w:val="nil"/>
              <w:right w:val="single" w:sz="6" w:space="0" w:color="auto"/>
            </w:tcBorders>
            <w:hideMark/>
          </w:tcPr>
          <w:p w14:paraId="1FE2D320" w14:textId="7D67971E" w:rsidR="00B41726" w:rsidRPr="00603661" w:rsidRDefault="00B4172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b/>
                <w:bCs/>
                <w:kern w:val="0"/>
                <w:sz w:val="22"/>
                <w:szCs w:val="22"/>
                <w:lang w:eastAsia="en-GB"/>
                <w14:ligatures w14:val="none"/>
              </w:rPr>
              <w:t>Deliver object</w:t>
            </w:r>
            <w:r w:rsidR="26CBC8F2" w:rsidRPr="00603661">
              <w:rPr>
                <w:rFonts w:eastAsia="Times New Roman"/>
                <w:b/>
                <w:bCs/>
                <w:kern w:val="0"/>
                <w:sz w:val="22"/>
                <w:szCs w:val="22"/>
                <w:lang w:eastAsia="en-GB"/>
                <w14:ligatures w14:val="none"/>
              </w:rPr>
              <w:t xml:space="preserve"> </w:t>
            </w:r>
            <w:r w:rsidRPr="736A1C77">
              <w:rPr>
                <w:rFonts w:eastAsia="Times New Roman"/>
                <w:b/>
                <w:bCs/>
                <w:sz w:val="22"/>
                <w:szCs w:val="22"/>
                <w:lang w:eastAsia="en-GB"/>
              </w:rPr>
              <w:t>based and collections</w:t>
            </w:r>
            <w:r w:rsidR="4B69FC9B" w:rsidRPr="736A1C77">
              <w:rPr>
                <w:rFonts w:eastAsia="Times New Roman"/>
                <w:b/>
                <w:bCs/>
                <w:sz w:val="22"/>
                <w:szCs w:val="22"/>
                <w:lang w:eastAsia="en-GB"/>
              </w:rPr>
              <w:t xml:space="preserve"> </w:t>
            </w:r>
            <w:r w:rsidRPr="00603661">
              <w:rPr>
                <w:rFonts w:eastAsia="Times New Roman"/>
                <w:b/>
                <w:bCs/>
                <w:kern w:val="0"/>
                <w:sz w:val="22"/>
                <w:szCs w:val="22"/>
                <w:lang w:eastAsia="en-GB"/>
                <w14:ligatures w14:val="none"/>
              </w:rPr>
              <w:noBreakHyphen/>
              <w:t>based and collections</w:t>
            </w:r>
            <w:r w:rsidR="61E1597B" w:rsidRPr="00603661">
              <w:rPr>
                <w:rFonts w:eastAsia="Times New Roman"/>
                <w:b/>
                <w:bCs/>
                <w:kern w:val="0"/>
                <w:sz w:val="22"/>
                <w:szCs w:val="22"/>
                <w:lang w:eastAsia="en-GB"/>
                <w14:ligatures w14:val="none"/>
              </w:rPr>
              <w:t xml:space="preserve"> </w:t>
            </w:r>
            <w:r w:rsidRPr="736A1C77">
              <w:rPr>
                <w:rFonts w:eastAsia="Times New Roman"/>
                <w:b/>
                <w:bCs/>
                <w:sz w:val="22"/>
                <w:szCs w:val="22"/>
                <w:lang w:eastAsia="en-GB"/>
              </w:rPr>
              <w:t>focused</w:t>
            </w:r>
            <w:r w:rsidRPr="00603661">
              <w:rPr>
                <w:rFonts w:eastAsia="Times New Roman"/>
                <w:b/>
                <w:bCs/>
                <w:kern w:val="0"/>
                <w:sz w:val="22"/>
                <w:szCs w:val="22"/>
                <w:lang w:eastAsia="en-GB"/>
                <w14:ligatures w14:val="none"/>
              </w:rPr>
              <w:noBreakHyphen/>
              <w:t xml:space="preserve"> learning</w:t>
            </w:r>
            <w:r w:rsidRPr="00603661">
              <w:rPr>
                <w:rFonts w:eastAsia="Times New Roman"/>
                <w:kern w:val="0"/>
                <w:sz w:val="22"/>
                <w:szCs w:val="22"/>
                <w:lang w:eastAsia="en-GB"/>
                <w14:ligatures w14:val="none"/>
              </w:rPr>
              <w:t xml:space="preserve"> across museum sites and external venues, ensuring all activity follows museum standards for safe, appropriate object handling. </w:t>
            </w:r>
          </w:p>
          <w:p w14:paraId="5BCA3C47" w14:textId="7ED9E928" w:rsidR="00B41726" w:rsidRPr="00603661" w:rsidRDefault="00B4172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b/>
                <w:bCs/>
                <w:kern w:val="0"/>
                <w:sz w:val="22"/>
                <w:szCs w:val="22"/>
                <w:lang w:eastAsia="en-GB"/>
                <w14:ligatures w14:val="none"/>
              </w:rPr>
              <w:t>Develop and deliver engagement programmes</w:t>
            </w:r>
            <w:r w:rsidRPr="00603661">
              <w:rPr>
                <w:rFonts w:eastAsia="Times New Roman"/>
                <w:kern w:val="0"/>
                <w:sz w:val="22"/>
                <w:szCs w:val="22"/>
                <w:lang w:eastAsia="en-GB"/>
                <w14:ligatures w14:val="none"/>
              </w:rPr>
              <w:t xml:space="preserve"> for a wide range of audiences, </w:t>
            </w:r>
            <w:r w:rsidR="00464C35" w:rsidRPr="00603661">
              <w:rPr>
                <w:rFonts w:eastAsia="Times New Roman"/>
                <w:kern w:val="0"/>
                <w:sz w:val="22"/>
                <w:szCs w:val="22"/>
                <w:lang w:eastAsia="en-GB"/>
                <w14:ligatures w14:val="none"/>
              </w:rPr>
              <w:t>such as</w:t>
            </w:r>
            <w:r w:rsidRPr="00603661">
              <w:rPr>
                <w:rFonts w:eastAsia="Times New Roman"/>
                <w:kern w:val="0"/>
                <w:sz w:val="22"/>
                <w:szCs w:val="22"/>
                <w:lang w:eastAsia="en-GB"/>
                <w14:ligatures w14:val="none"/>
              </w:rPr>
              <w:t xml:space="preserve"> schools, adult learners, lifelong learning groups, FE/HE students, U3A, and other learning cohorts. </w:t>
            </w:r>
          </w:p>
          <w:p w14:paraId="78775ED5" w14:textId="790C9009" w:rsidR="00B41726" w:rsidRPr="00603661" w:rsidRDefault="00B4172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b/>
                <w:bCs/>
                <w:kern w:val="0"/>
                <w:sz w:val="22"/>
                <w:szCs w:val="22"/>
                <w:lang w:eastAsia="en-GB"/>
                <w14:ligatures w14:val="none"/>
              </w:rPr>
              <w:t>Support the development and interpretation of exhibitions</w:t>
            </w:r>
            <w:r w:rsidRPr="00603661">
              <w:rPr>
                <w:rFonts w:eastAsia="Times New Roman"/>
                <w:kern w:val="0"/>
                <w:sz w:val="22"/>
                <w:szCs w:val="22"/>
                <w:lang w:eastAsia="en-GB"/>
                <w14:ligatures w14:val="none"/>
              </w:rPr>
              <w:t xml:space="preserve">, including creating educational content, gallery learning materials, and guided experiences. </w:t>
            </w:r>
          </w:p>
          <w:p w14:paraId="167E18ED" w14:textId="75D018A0" w:rsidR="00B41726" w:rsidRPr="00603661" w:rsidRDefault="00B4172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b/>
                <w:bCs/>
                <w:kern w:val="0"/>
                <w:sz w:val="22"/>
                <w:szCs w:val="22"/>
                <w:lang w:eastAsia="en-GB"/>
                <w14:ligatures w14:val="none"/>
              </w:rPr>
              <w:t>Collaborate with external curatorial, conservation and other specialist contract</w:t>
            </w:r>
            <w:r w:rsidR="00C9763D" w:rsidRPr="00603661">
              <w:rPr>
                <w:rFonts w:eastAsia="Times New Roman"/>
                <w:b/>
                <w:bCs/>
                <w:kern w:val="0"/>
                <w:sz w:val="22"/>
                <w:szCs w:val="22"/>
                <w:lang w:eastAsia="en-GB"/>
                <w14:ligatures w14:val="none"/>
              </w:rPr>
              <w:t>s</w:t>
            </w:r>
            <w:r w:rsidRPr="00603661">
              <w:rPr>
                <w:rFonts w:eastAsia="Times New Roman"/>
                <w:b/>
                <w:bCs/>
                <w:kern w:val="0"/>
                <w:sz w:val="22"/>
                <w:szCs w:val="22"/>
                <w:lang w:eastAsia="en-GB"/>
                <w14:ligatures w14:val="none"/>
              </w:rPr>
              <w:t xml:space="preserve"> a</w:t>
            </w:r>
            <w:r w:rsidR="00C9763D" w:rsidRPr="00603661">
              <w:rPr>
                <w:rFonts w:eastAsia="Times New Roman"/>
                <w:b/>
                <w:bCs/>
                <w:kern w:val="0"/>
                <w:sz w:val="22"/>
                <w:szCs w:val="22"/>
                <w:lang w:eastAsia="en-GB"/>
                <w14:ligatures w14:val="none"/>
              </w:rPr>
              <w:t>longside</w:t>
            </w:r>
            <w:r w:rsidRPr="00603661">
              <w:rPr>
                <w:rFonts w:eastAsia="Times New Roman"/>
                <w:b/>
                <w:bCs/>
                <w:kern w:val="0"/>
                <w:sz w:val="22"/>
                <w:szCs w:val="22"/>
                <w:lang w:eastAsia="en-GB"/>
                <w14:ligatures w14:val="none"/>
              </w:rPr>
              <w:t xml:space="preserve"> visitor experience teams</w:t>
            </w:r>
            <w:r w:rsidRPr="00603661">
              <w:rPr>
                <w:rFonts w:eastAsia="Times New Roman"/>
                <w:kern w:val="0"/>
                <w:sz w:val="22"/>
                <w:szCs w:val="22"/>
                <w:lang w:eastAsia="en-GB"/>
                <w14:ligatures w14:val="none"/>
              </w:rPr>
              <w:t xml:space="preserve"> to ensure learning and engagement activity is collection</w:t>
            </w:r>
            <w:r w:rsidR="702B62DB" w:rsidRPr="00603661">
              <w:rPr>
                <w:rFonts w:eastAsia="Times New Roman"/>
                <w:kern w:val="0"/>
                <w:sz w:val="22"/>
                <w:szCs w:val="22"/>
                <w:lang w:eastAsia="en-GB"/>
                <w14:ligatures w14:val="none"/>
              </w:rPr>
              <w:t xml:space="preserve"> </w:t>
            </w:r>
            <w:r w:rsidRPr="00603661">
              <w:rPr>
                <w:rFonts w:eastAsia="Times New Roman"/>
                <w:kern w:val="0"/>
                <w:sz w:val="22"/>
                <w:szCs w:val="22"/>
                <w:lang w:eastAsia="en-GB"/>
                <w14:ligatures w14:val="none"/>
              </w:rPr>
              <w:noBreakHyphen/>
              <w:t xml:space="preserve">accurate and aligned with museum practice. </w:t>
            </w:r>
          </w:p>
          <w:p w14:paraId="7E8F0633" w14:textId="72860DEC" w:rsidR="00B41726" w:rsidRPr="00603661" w:rsidRDefault="00B4172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b/>
                <w:bCs/>
                <w:kern w:val="0"/>
                <w:sz w:val="22"/>
                <w:szCs w:val="22"/>
                <w:lang w:eastAsia="en-GB"/>
                <w14:ligatures w14:val="none"/>
              </w:rPr>
              <w:t>Plan and coordinate public</w:t>
            </w:r>
            <w:r w:rsidR="4499BD63" w:rsidRPr="00603661">
              <w:rPr>
                <w:rFonts w:eastAsia="Times New Roman"/>
                <w:b/>
                <w:bCs/>
                <w:kern w:val="0"/>
                <w:sz w:val="22"/>
                <w:szCs w:val="22"/>
                <w:lang w:eastAsia="en-GB"/>
                <w14:ligatures w14:val="none"/>
              </w:rPr>
              <w:t xml:space="preserve"> </w:t>
            </w:r>
            <w:r w:rsidRPr="00603661">
              <w:rPr>
                <w:rFonts w:eastAsia="Times New Roman"/>
                <w:b/>
                <w:bCs/>
                <w:kern w:val="0"/>
                <w:sz w:val="22"/>
                <w:szCs w:val="22"/>
                <w:lang w:eastAsia="en-GB"/>
                <w14:ligatures w14:val="none"/>
              </w:rPr>
              <w:noBreakHyphen/>
              <w:t>facing events</w:t>
            </w:r>
            <w:r w:rsidRPr="00603661">
              <w:rPr>
                <w:rFonts w:eastAsia="Times New Roman"/>
                <w:kern w:val="0"/>
                <w:sz w:val="22"/>
                <w:szCs w:val="22"/>
                <w:lang w:eastAsia="en-GB"/>
                <w14:ligatures w14:val="none"/>
              </w:rPr>
              <w:t xml:space="preserve">, including family activities, seasonal programming, and special engagement initiatives requiring </w:t>
            </w:r>
            <w:r w:rsidR="004F66D6" w:rsidRPr="00603661">
              <w:rPr>
                <w:rFonts w:eastAsia="Times New Roman"/>
                <w:kern w:val="0"/>
                <w:sz w:val="22"/>
                <w:szCs w:val="22"/>
                <w:lang w:eastAsia="en-GB"/>
                <w14:ligatures w14:val="none"/>
              </w:rPr>
              <w:t xml:space="preserve">regular </w:t>
            </w:r>
            <w:r w:rsidRPr="00603661">
              <w:rPr>
                <w:rFonts w:eastAsia="Times New Roman"/>
                <w:kern w:val="0"/>
                <w:sz w:val="22"/>
                <w:szCs w:val="22"/>
                <w:lang w:eastAsia="en-GB"/>
                <w14:ligatures w14:val="none"/>
              </w:rPr>
              <w:t xml:space="preserve">evening or weekend work. </w:t>
            </w:r>
          </w:p>
          <w:p w14:paraId="46D26E7F" w14:textId="5D6E1A21" w:rsidR="002728D9" w:rsidRPr="00276646" w:rsidRDefault="00B41726" w:rsidP="00603661">
            <w:pPr>
              <w:pStyle w:val="ListParagraph"/>
              <w:numPr>
                <w:ilvl w:val="0"/>
                <w:numId w:val="31"/>
              </w:numPr>
              <w:spacing w:after="0" w:line="300" w:lineRule="atLeast"/>
            </w:pPr>
            <w:r w:rsidRPr="00603661">
              <w:rPr>
                <w:rFonts w:eastAsia="Times New Roman"/>
                <w:b/>
                <w:bCs/>
                <w:kern w:val="0"/>
                <w:sz w:val="22"/>
                <w:szCs w:val="22"/>
                <w:lang w:eastAsia="en-GB"/>
                <w14:ligatures w14:val="none"/>
              </w:rPr>
              <w:t>Ensure compliance with museum procedures</w:t>
            </w:r>
            <w:r w:rsidRPr="00603661">
              <w:rPr>
                <w:rFonts w:eastAsia="Times New Roman"/>
                <w:kern w:val="0"/>
                <w:sz w:val="22"/>
                <w:szCs w:val="22"/>
                <w:lang w:eastAsia="en-GB"/>
                <w14:ligatures w14:val="none"/>
              </w:rPr>
              <w:t>, including object handling, collections care considerations, security, and activity</w:t>
            </w:r>
            <w:r w:rsidR="004F66D6" w:rsidRPr="00603661">
              <w:rPr>
                <w:rFonts w:eastAsia="Times New Roman"/>
                <w:kern w:val="0"/>
                <w:sz w:val="22"/>
                <w:szCs w:val="22"/>
                <w:lang w:eastAsia="en-GB"/>
                <w14:ligatures w14:val="none"/>
              </w:rPr>
              <w:t>/object</w:t>
            </w:r>
            <w:r w:rsidRPr="00603661">
              <w:rPr>
                <w:rFonts w:eastAsia="Times New Roman"/>
                <w:kern w:val="0"/>
                <w:sz w:val="22"/>
                <w:szCs w:val="22"/>
                <w:lang w:eastAsia="en-GB"/>
                <w14:ligatures w14:val="none"/>
              </w:rPr>
              <w:t xml:space="preserve"> risk assessments.</w:t>
            </w:r>
          </w:p>
        </w:tc>
      </w:tr>
      <w:tr w:rsidR="002728D9" w:rsidRPr="002728D9" w14:paraId="20FF5F87" w14:textId="77777777" w:rsidTr="4CA1D5F9">
        <w:trPr>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t>Specific person specification associated with this position</w:t>
            </w:r>
            <w:r w:rsidRPr="00276646">
              <w:t> </w:t>
            </w:r>
          </w:p>
        </w:tc>
      </w:tr>
      <w:tr w:rsidR="002728D9" w:rsidRPr="002728D9" w14:paraId="41038E90" w14:textId="77777777" w:rsidTr="4CA1D5F9">
        <w:trPr>
          <w:trHeight w:val="1261"/>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3EF31662" w14:textId="7D145756" w:rsidR="00517F73" w:rsidRPr="00603661" w:rsidRDefault="00517F7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Knowledge of museum learning practice, including object</w:t>
            </w:r>
            <w:r w:rsidR="44D80209" w:rsidRPr="00603661">
              <w:rPr>
                <w:rFonts w:eastAsia="Times New Roman"/>
                <w:kern w:val="0"/>
                <w:sz w:val="22"/>
                <w:szCs w:val="22"/>
                <w:lang w:eastAsia="en-GB"/>
                <w14:ligatures w14:val="none"/>
              </w:rPr>
              <w:t xml:space="preserve"> </w:t>
            </w:r>
            <w:r w:rsidRPr="00603661">
              <w:rPr>
                <w:rFonts w:eastAsia="Times New Roman"/>
                <w:kern w:val="0"/>
                <w:sz w:val="22"/>
                <w:szCs w:val="22"/>
                <w:lang w:eastAsia="en-GB"/>
                <w14:ligatures w14:val="none"/>
              </w:rPr>
              <w:noBreakHyphen/>
              <w:t xml:space="preserve">based learning, interpretation, and engagement methodologies. </w:t>
            </w:r>
          </w:p>
          <w:p w14:paraId="0EAE874B" w14:textId="272A92B0" w:rsidR="00517F73" w:rsidRPr="00603661" w:rsidRDefault="00517F7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Experience working with or around museum or heritage collections, including basic conservation awareness. </w:t>
            </w:r>
          </w:p>
          <w:p w14:paraId="58890BFB" w14:textId="611F0A45" w:rsidR="00517F73" w:rsidRPr="00603661" w:rsidRDefault="00517F7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Experience delivering learning for a broad range of audiences, </w:t>
            </w:r>
            <w:r w:rsidR="003F7F77" w:rsidRPr="00603661">
              <w:rPr>
                <w:rFonts w:eastAsia="Times New Roman"/>
                <w:kern w:val="0"/>
                <w:sz w:val="22"/>
                <w:szCs w:val="22"/>
                <w:lang w:eastAsia="en-GB"/>
                <w14:ligatures w14:val="none"/>
              </w:rPr>
              <w:t xml:space="preserve">such as </w:t>
            </w:r>
            <w:r w:rsidRPr="00603661">
              <w:rPr>
                <w:rFonts w:eastAsia="Times New Roman"/>
                <w:kern w:val="0"/>
                <w:sz w:val="22"/>
                <w:szCs w:val="22"/>
                <w:lang w:eastAsia="en-GB"/>
                <w14:ligatures w14:val="none"/>
              </w:rPr>
              <w:t xml:space="preserve">schools, adult learners, FE/HE groups, family learners, and specialist learning groups such as U3A. </w:t>
            </w:r>
          </w:p>
          <w:p w14:paraId="1C9D7DD1" w14:textId="4AF70D11" w:rsidR="00517F73" w:rsidRPr="00603661" w:rsidRDefault="00517F7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Ability to design and deliver activities for both formal and informal learning settings, adapting content to suit diverse participation needs. </w:t>
            </w:r>
          </w:p>
          <w:p w14:paraId="60F08866" w14:textId="63136981" w:rsidR="00517F73" w:rsidRPr="00603661" w:rsidRDefault="00517F7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Experience engaging with external partners and audience groups in varied settings to widen access to museum learning. </w:t>
            </w:r>
          </w:p>
          <w:p w14:paraId="7258500A" w14:textId="27E78E32" w:rsidR="002728D9" w:rsidRPr="00276646" w:rsidRDefault="00517F73" w:rsidP="00603661">
            <w:pPr>
              <w:pStyle w:val="ListParagraph"/>
              <w:numPr>
                <w:ilvl w:val="0"/>
                <w:numId w:val="31"/>
              </w:numPr>
              <w:spacing w:after="0" w:line="300" w:lineRule="atLeast"/>
            </w:pPr>
            <w:r w:rsidRPr="00603661">
              <w:rPr>
                <w:rFonts w:eastAsia="Times New Roman"/>
                <w:kern w:val="0"/>
                <w:sz w:val="22"/>
                <w:szCs w:val="22"/>
                <w:lang w:eastAsia="en-GB"/>
                <w14:ligatures w14:val="none"/>
              </w:rPr>
              <w:t xml:space="preserve">Understanding of inclusive </w:t>
            </w:r>
            <w:r w:rsidR="00737A99" w:rsidRPr="00603661">
              <w:rPr>
                <w:rFonts w:eastAsia="Times New Roman"/>
                <w:kern w:val="0"/>
                <w:sz w:val="22"/>
                <w:szCs w:val="22"/>
                <w:lang w:eastAsia="en-GB"/>
                <w14:ligatures w14:val="none"/>
              </w:rPr>
              <w:t xml:space="preserve">engagement </w:t>
            </w:r>
            <w:r w:rsidRPr="00603661">
              <w:rPr>
                <w:rFonts w:eastAsia="Times New Roman"/>
                <w:kern w:val="0"/>
                <w:sz w:val="22"/>
                <w:szCs w:val="22"/>
                <w:lang w:eastAsia="en-GB"/>
                <w14:ligatures w14:val="none"/>
              </w:rPr>
              <w:t>practice and how museums can support accessible, meaningful engagement for a diverse public</w:t>
            </w:r>
          </w:p>
        </w:tc>
      </w:tr>
      <w:tr w:rsidR="002728D9" w:rsidRPr="002728D9" w14:paraId="1D7BBB1E" w14:textId="77777777" w:rsidTr="4CA1D5F9">
        <w:trPr>
          <w:trHeight w:val="555"/>
        </w:trPr>
        <w:tc>
          <w:tcPr>
            <w:tcW w:w="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9122"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561C6F32" w:rsidR="002728D9" w:rsidRPr="00276646" w:rsidRDefault="00547C28" w:rsidP="00547C28">
            <w:r w:rsidRPr="00276646">
              <w:rPr>
                <w:b/>
              </w:rPr>
              <w:t>Use this section to identify other requirements for this position.</w:t>
            </w:r>
            <w:r w:rsidRPr="00276646">
              <w:t> </w:t>
            </w:r>
          </w:p>
        </w:tc>
      </w:tr>
      <w:tr w:rsidR="002728D9" w:rsidRPr="002728D9" w14:paraId="5E6AAE2D" w14:textId="77777777" w:rsidTr="4CA1D5F9">
        <w:trPr>
          <w:trHeight w:val="1665"/>
        </w:trPr>
        <w:tc>
          <w:tcPr>
            <w:tcW w:w="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t> </w:t>
            </w:r>
          </w:p>
        </w:tc>
        <w:tc>
          <w:tcPr>
            <w:tcW w:w="9122" w:type="dxa"/>
            <w:tcBorders>
              <w:top w:val="single" w:sz="6" w:space="0" w:color="auto"/>
              <w:left w:val="single" w:sz="6" w:space="0" w:color="auto"/>
              <w:bottom w:val="single" w:sz="6" w:space="0" w:color="auto"/>
              <w:right w:val="single" w:sz="6" w:space="0" w:color="000000" w:themeColor="text1"/>
            </w:tcBorders>
            <w:hideMark/>
          </w:tcPr>
          <w:p w14:paraId="63B7D685" w14:textId="74A20440" w:rsidR="00A00266" w:rsidRPr="00603661" w:rsidRDefault="00A0026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Ability to travel across BCP and wider region to deliver engagement activities at external venues.   </w:t>
            </w:r>
          </w:p>
          <w:p w14:paraId="1EAD978B" w14:textId="7C25A7FF" w:rsidR="00A00266" w:rsidRPr="00603661" w:rsidRDefault="00A0026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Lone working may occur at external venues,</w:t>
            </w:r>
            <w:r w:rsidR="00737A99" w:rsidRPr="00603661">
              <w:rPr>
                <w:rFonts w:eastAsia="Times New Roman"/>
                <w:kern w:val="0"/>
                <w:sz w:val="22"/>
                <w:szCs w:val="22"/>
                <w:lang w:eastAsia="en-GB"/>
                <w14:ligatures w14:val="none"/>
              </w:rPr>
              <w:t xml:space="preserve"> other museum </w:t>
            </w:r>
            <w:r w:rsidRPr="00603661">
              <w:rPr>
                <w:rFonts w:eastAsia="Times New Roman"/>
                <w:kern w:val="0"/>
                <w:sz w:val="22"/>
                <w:szCs w:val="22"/>
                <w:lang w:eastAsia="en-GB"/>
                <w14:ligatures w14:val="none"/>
              </w:rPr>
              <w:t>sites, or during set</w:t>
            </w:r>
            <w:r w:rsidRPr="00603661">
              <w:rPr>
                <w:rFonts w:eastAsia="Times New Roman"/>
                <w:kern w:val="0"/>
                <w:sz w:val="22"/>
                <w:szCs w:val="22"/>
                <w:lang w:eastAsia="en-GB"/>
                <w14:ligatures w14:val="none"/>
              </w:rPr>
              <w:noBreakHyphen/>
              <w:t>up for engagement</w:t>
            </w:r>
            <w:r w:rsidR="00F35E39" w:rsidRPr="00603661">
              <w:rPr>
                <w:rFonts w:eastAsia="Times New Roman"/>
                <w:kern w:val="0"/>
                <w:sz w:val="22"/>
                <w:szCs w:val="22"/>
                <w:lang w:eastAsia="en-GB"/>
                <w14:ligatures w14:val="none"/>
              </w:rPr>
              <w:t xml:space="preserve"> activities</w:t>
            </w:r>
          </w:p>
          <w:p w14:paraId="049B6034" w14:textId="726BA34E" w:rsidR="00A00266" w:rsidRPr="00603661" w:rsidRDefault="00A00266"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Manual handling of resources, equipment, and materials associated with delivering engagement sessions. </w:t>
            </w:r>
          </w:p>
          <w:p w14:paraId="57C660EA" w14:textId="558AFBCC" w:rsidR="00A00266" w:rsidRPr="00603661" w:rsidRDefault="00B12D43" w:rsidP="00603661">
            <w:pPr>
              <w:pStyle w:val="ListParagraph"/>
              <w:numPr>
                <w:ilvl w:val="0"/>
                <w:numId w:val="31"/>
              </w:numPr>
              <w:spacing w:after="0" w:line="300" w:lineRule="atLeast"/>
              <w:rPr>
                <w:rFonts w:eastAsia="Times New Roman"/>
                <w:kern w:val="0"/>
                <w:sz w:val="22"/>
                <w:szCs w:val="22"/>
                <w:lang w:eastAsia="en-GB"/>
                <w14:ligatures w14:val="none"/>
              </w:rPr>
            </w:pPr>
            <w:r w:rsidRPr="00603661">
              <w:rPr>
                <w:rFonts w:eastAsia="Times New Roman"/>
                <w:kern w:val="0"/>
                <w:sz w:val="22"/>
                <w:szCs w:val="22"/>
                <w:lang w:eastAsia="en-GB"/>
                <w14:ligatures w14:val="none"/>
              </w:rPr>
              <w:t xml:space="preserve">Weekly </w:t>
            </w:r>
            <w:r w:rsidR="00A00266" w:rsidRPr="00603661">
              <w:rPr>
                <w:rFonts w:eastAsia="Times New Roman"/>
                <w:kern w:val="0"/>
                <w:sz w:val="22"/>
                <w:szCs w:val="22"/>
                <w:lang w:eastAsia="en-GB"/>
                <w14:ligatures w14:val="none"/>
              </w:rPr>
              <w:t xml:space="preserve">evening and weekend working </w:t>
            </w:r>
            <w:r w:rsidR="52A782D1" w:rsidRPr="00603661">
              <w:rPr>
                <w:rFonts w:eastAsia="Times New Roman"/>
                <w:kern w:val="0"/>
                <w:sz w:val="22"/>
                <w:szCs w:val="22"/>
                <w:lang w:eastAsia="en-GB"/>
                <w14:ligatures w14:val="none"/>
              </w:rPr>
              <w:t xml:space="preserve">is part of the normal working pattern </w:t>
            </w:r>
            <w:r w:rsidR="00A00266" w:rsidRPr="00603661">
              <w:rPr>
                <w:rFonts w:eastAsia="Times New Roman"/>
                <w:kern w:val="0"/>
                <w:sz w:val="22"/>
                <w:szCs w:val="22"/>
                <w:lang w:eastAsia="en-GB"/>
                <w14:ligatures w14:val="none"/>
              </w:rPr>
              <w:t xml:space="preserve">to support museum programmes and public events. </w:t>
            </w:r>
          </w:p>
          <w:p w14:paraId="7EC17321" w14:textId="614D6964" w:rsidR="002728D9" w:rsidRPr="00276646" w:rsidRDefault="00A00266" w:rsidP="00603661">
            <w:pPr>
              <w:pStyle w:val="ListParagraph"/>
              <w:numPr>
                <w:ilvl w:val="0"/>
                <w:numId w:val="31"/>
              </w:numPr>
              <w:spacing w:after="0" w:line="300" w:lineRule="atLeast"/>
            </w:pPr>
            <w:r w:rsidRPr="00603661">
              <w:rPr>
                <w:rFonts w:eastAsia="Times New Roman"/>
                <w:kern w:val="0"/>
                <w:sz w:val="22"/>
                <w:szCs w:val="22"/>
                <w:lang w:eastAsia="en-GB"/>
                <w14:ligatures w14:val="none"/>
              </w:rPr>
              <w:t>Work may take place in historic buildings or gallery environments with unique physical or environmental constraints.</w:t>
            </w: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27F6" w14:textId="77777777" w:rsidR="007A2BE8" w:rsidRDefault="007A2BE8" w:rsidP="006A3990">
      <w:pPr>
        <w:spacing w:after="0" w:line="240" w:lineRule="auto"/>
      </w:pPr>
      <w:r>
        <w:separator/>
      </w:r>
    </w:p>
  </w:endnote>
  <w:endnote w:type="continuationSeparator" w:id="0">
    <w:p w14:paraId="2E305625" w14:textId="77777777" w:rsidR="007A2BE8" w:rsidRDefault="007A2BE8" w:rsidP="006A3990">
      <w:pPr>
        <w:spacing w:after="0" w:line="240" w:lineRule="auto"/>
      </w:pPr>
      <w:r>
        <w:continuationSeparator/>
      </w:r>
    </w:p>
  </w:endnote>
  <w:endnote w:type="continuationNotice" w:id="1">
    <w:p w14:paraId="48D9D6F7" w14:textId="77777777" w:rsidR="007A2BE8" w:rsidRDefault="007A2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CE5E" w14:textId="77777777" w:rsidR="007A2BE8" w:rsidRDefault="007A2BE8" w:rsidP="006A3990">
      <w:pPr>
        <w:spacing w:after="0" w:line="240" w:lineRule="auto"/>
      </w:pPr>
      <w:r>
        <w:separator/>
      </w:r>
    </w:p>
  </w:footnote>
  <w:footnote w:type="continuationSeparator" w:id="0">
    <w:p w14:paraId="58F7B83D" w14:textId="77777777" w:rsidR="007A2BE8" w:rsidRDefault="007A2BE8" w:rsidP="006A3990">
      <w:pPr>
        <w:spacing w:after="0" w:line="240" w:lineRule="auto"/>
      </w:pPr>
      <w:r>
        <w:continuationSeparator/>
      </w:r>
    </w:p>
  </w:footnote>
  <w:footnote w:type="continuationNotice" w:id="1">
    <w:p w14:paraId="3A1B7AED" w14:textId="77777777" w:rsidR="007A2BE8" w:rsidRDefault="007A2B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15E8"/>
    <w:multiLevelType w:val="multilevel"/>
    <w:tmpl w:val="468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25BCD"/>
    <w:multiLevelType w:val="hybridMultilevel"/>
    <w:tmpl w:val="3726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D49EF"/>
    <w:multiLevelType w:val="multilevel"/>
    <w:tmpl w:val="268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D7CFF"/>
    <w:multiLevelType w:val="multilevel"/>
    <w:tmpl w:val="4E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2294C"/>
    <w:multiLevelType w:val="hybridMultilevel"/>
    <w:tmpl w:val="20F229AC"/>
    <w:lvl w:ilvl="0" w:tplc="E560219A">
      <w:start w:val="11"/>
      <w:numFmt w:val="bullet"/>
      <w:lvlText w:val=""/>
      <w:lvlJc w:val="left"/>
      <w:pPr>
        <w:ind w:left="360" w:hanging="360"/>
      </w:pPr>
      <w:rPr>
        <w:rFonts w:ascii="Symbol" w:eastAsia="Times New Roman" w:hAnsi="Symbol" w:cs="Segoe U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0320F"/>
    <w:multiLevelType w:val="multilevel"/>
    <w:tmpl w:val="42C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65495"/>
    <w:multiLevelType w:val="hybridMultilevel"/>
    <w:tmpl w:val="1BBC5370"/>
    <w:lvl w:ilvl="0" w:tplc="E560219A">
      <w:start w:val="11"/>
      <w:numFmt w:val="bullet"/>
      <w:lvlText w:val=""/>
      <w:lvlJc w:val="left"/>
      <w:pPr>
        <w:ind w:left="360" w:hanging="360"/>
      </w:pPr>
      <w:rPr>
        <w:rFonts w:ascii="Symbol" w:eastAsia="Times New Roman" w:hAnsi="Symbol" w:cs="Segoe U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61586"/>
    <w:multiLevelType w:val="hybridMultilevel"/>
    <w:tmpl w:val="EE24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A60DEF"/>
    <w:multiLevelType w:val="multilevel"/>
    <w:tmpl w:val="63E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C70B5"/>
    <w:multiLevelType w:val="multilevel"/>
    <w:tmpl w:val="3A0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376B5"/>
    <w:multiLevelType w:val="hybridMultilevel"/>
    <w:tmpl w:val="A1B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23545"/>
    <w:multiLevelType w:val="hybridMultilevel"/>
    <w:tmpl w:val="B4024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21"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01890"/>
    <w:multiLevelType w:val="multilevel"/>
    <w:tmpl w:val="22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9648A"/>
    <w:multiLevelType w:val="hybridMultilevel"/>
    <w:tmpl w:val="5C72FA1E"/>
    <w:lvl w:ilvl="0" w:tplc="E560219A">
      <w:start w:val="11"/>
      <w:numFmt w:val="bullet"/>
      <w:lvlText w:val=""/>
      <w:lvlJc w:val="left"/>
      <w:pPr>
        <w:ind w:left="360" w:hanging="360"/>
      </w:pPr>
      <w:rPr>
        <w:rFonts w:ascii="Symbol" w:eastAsia="Times New Roman" w:hAnsi="Symbol" w:cs="Segoe UI"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20"/>
  </w:num>
  <w:num w:numId="2" w16cid:durableId="371198757">
    <w:abstractNumId w:val="15"/>
  </w:num>
  <w:num w:numId="3" w16cid:durableId="149978834">
    <w:abstractNumId w:val="14"/>
  </w:num>
  <w:num w:numId="4" w16cid:durableId="327370055">
    <w:abstractNumId w:val="7"/>
  </w:num>
  <w:num w:numId="5" w16cid:durableId="1487086870">
    <w:abstractNumId w:val="30"/>
  </w:num>
  <w:num w:numId="6" w16cid:durableId="332419876">
    <w:abstractNumId w:val="25"/>
  </w:num>
  <w:num w:numId="7" w16cid:durableId="1884824771">
    <w:abstractNumId w:val="22"/>
  </w:num>
  <w:num w:numId="8" w16cid:durableId="2009483535">
    <w:abstractNumId w:val="31"/>
  </w:num>
  <w:num w:numId="9" w16cid:durableId="2076077649">
    <w:abstractNumId w:val="32"/>
  </w:num>
  <w:num w:numId="10" w16cid:durableId="2093161487">
    <w:abstractNumId w:val="23"/>
  </w:num>
  <w:num w:numId="11" w16cid:durableId="668870267">
    <w:abstractNumId w:val="4"/>
  </w:num>
  <w:num w:numId="12" w16cid:durableId="472873758">
    <w:abstractNumId w:val="1"/>
  </w:num>
  <w:num w:numId="13" w16cid:durableId="1252741862">
    <w:abstractNumId w:val="3"/>
  </w:num>
  <w:num w:numId="14" w16cid:durableId="386878100">
    <w:abstractNumId w:val="0"/>
  </w:num>
  <w:num w:numId="15" w16cid:durableId="857812560">
    <w:abstractNumId w:val="21"/>
  </w:num>
  <w:num w:numId="16" w16cid:durableId="1075467535">
    <w:abstractNumId w:val="29"/>
  </w:num>
  <w:num w:numId="17" w16cid:durableId="1406994299">
    <w:abstractNumId w:val="27"/>
  </w:num>
  <w:num w:numId="18" w16cid:durableId="826868788">
    <w:abstractNumId w:val="24"/>
  </w:num>
  <w:num w:numId="19" w16cid:durableId="1295330182">
    <w:abstractNumId w:val="12"/>
  </w:num>
  <w:num w:numId="20" w16cid:durableId="1073821209">
    <w:abstractNumId w:val="17"/>
  </w:num>
  <w:num w:numId="21" w16cid:durableId="2112704318">
    <w:abstractNumId w:val="2"/>
  </w:num>
  <w:num w:numId="22" w16cid:durableId="1094474847">
    <w:abstractNumId w:val="16"/>
  </w:num>
  <w:num w:numId="23" w16cid:durableId="75513580">
    <w:abstractNumId w:val="26"/>
  </w:num>
  <w:num w:numId="24" w16cid:durableId="260649228">
    <w:abstractNumId w:val="10"/>
  </w:num>
  <w:num w:numId="25" w16cid:durableId="36400319">
    <w:abstractNumId w:val="8"/>
  </w:num>
  <w:num w:numId="26" w16cid:durableId="1740209021">
    <w:abstractNumId w:val="18"/>
  </w:num>
  <w:num w:numId="27" w16cid:durableId="1638293495">
    <w:abstractNumId w:val="19"/>
  </w:num>
  <w:num w:numId="28" w16cid:durableId="425925638">
    <w:abstractNumId w:val="13"/>
  </w:num>
  <w:num w:numId="29" w16cid:durableId="940920701">
    <w:abstractNumId w:val="6"/>
  </w:num>
  <w:num w:numId="30" w16cid:durableId="1263297449">
    <w:abstractNumId w:val="5"/>
  </w:num>
  <w:num w:numId="31" w16cid:durableId="2017685340">
    <w:abstractNumId w:val="28"/>
  </w:num>
  <w:num w:numId="32" w16cid:durableId="1934894766">
    <w:abstractNumId w:val="9"/>
  </w:num>
  <w:num w:numId="33" w16cid:durableId="1610624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10BCB"/>
    <w:rsid w:val="00030474"/>
    <w:rsid w:val="000352A5"/>
    <w:rsid w:val="00044228"/>
    <w:rsid w:val="0004713B"/>
    <w:rsid w:val="000A123A"/>
    <w:rsid w:val="000A3285"/>
    <w:rsid w:val="000B310D"/>
    <w:rsid w:val="000E5856"/>
    <w:rsid w:val="00104263"/>
    <w:rsid w:val="00116913"/>
    <w:rsid w:val="001179A7"/>
    <w:rsid w:val="00124522"/>
    <w:rsid w:val="001414F8"/>
    <w:rsid w:val="001841EC"/>
    <w:rsid w:val="0019658C"/>
    <w:rsid w:val="001B7315"/>
    <w:rsid w:val="001D58CE"/>
    <w:rsid w:val="001E1146"/>
    <w:rsid w:val="001E26F0"/>
    <w:rsid w:val="001E2EAD"/>
    <w:rsid w:val="00230D98"/>
    <w:rsid w:val="00251732"/>
    <w:rsid w:val="002611D9"/>
    <w:rsid w:val="002728D9"/>
    <w:rsid w:val="00274EFE"/>
    <w:rsid w:val="00276646"/>
    <w:rsid w:val="00280CF9"/>
    <w:rsid w:val="00282FB0"/>
    <w:rsid w:val="002A1897"/>
    <w:rsid w:val="002A2BC6"/>
    <w:rsid w:val="002B3BF1"/>
    <w:rsid w:val="002C246B"/>
    <w:rsid w:val="002D5205"/>
    <w:rsid w:val="002F4ECC"/>
    <w:rsid w:val="003067AC"/>
    <w:rsid w:val="00326B70"/>
    <w:rsid w:val="00374133"/>
    <w:rsid w:val="00392B1F"/>
    <w:rsid w:val="003B00CB"/>
    <w:rsid w:val="003F7F77"/>
    <w:rsid w:val="00402C87"/>
    <w:rsid w:val="00407EA1"/>
    <w:rsid w:val="00413FC9"/>
    <w:rsid w:val="00416270"/>
    <w:rsid w:val="00444B76"/>
    <w:rsid w:val="00464C35"/>
    <w:rsid w:val="0048304D"/>
    <w:rsid w:val="00493062"/>
    <w:rsid w:val="004C35E6"/>
    <w:rsid w:val="004E6937"/>
    <w:rsid w:val="004F66D6"/>
    <w:rsid w:val="00517F73"/>
    <w:rsid w:val="00547707"/>
    <w:rsid w:val="00547C28"/>
    <w:rsid w:val="00577AC7"/>
    <w:rsid w:val="0058053E"/>
    <w:rsid w:val="00596151"/>
    <w:rsid w:val="005C02C8"/>
    <w:rsid w:val="005C20D3"/>
    <w:rsid w:val="005C366C"/>
    <w:rsid w:val="005F6B07"/>
    <w:rsid w:val="006025D6"/>
    <w:rsid w:val="0060345F"/>
    <w:rsid w:val="00603661"/>
    <w:rsid w:val="006069C3"/>
    <w:rsid w:val="00613183"/>
    <w:rsid w:val="00643DF3"/>
    <w:rsid w:val="00696133"/>
    <w:rsid w:val="00697EB4"/>
    <w:rsid w:val="006A3990"/>
    <w:rsid w:val="006D3565"/>
    <w:rsid w:val="006E57EB"/>
    <w:rsid w:val="006F0A27"/>
    <w:rsid w:val="006F716B"/>
    <w:rsid w:val="00712442"/>
    <w:rsid w:val="00734C94"/>
    <w:rsid w:val="00737A99"/>
    <w:rsid w:val="00754288"/>
    <w:rsid w:val="00762ADF"/>
    <w:rsid w:val="007A2BE8"/>
    <w:rsid w:val="007C0B69"/>
    <w:rsid w:val="008047D5"/>
    <w:rsid w:val="00807846"/>
    <w:rsid w:val="008123E6"/>
    <w:rsid w:val="00842CDB"/>
    <w:rsid w:val="00844089"/>
    <w:rsid w:val="00856A94"/>
    <w:rsid w:val="0086357C"/>
    <w:rsid w:val="00877E69"/>
    <w:rsid w:val="00880710"/>
    <w:rsid w:val="008808C0"/>
    <w:rsid w:val="00896D1A"/>
    <w:rsid w:val="00897B89"/>
    <w:rsid w:val="008B665E"/>
    <w:rsid w:val="008C64DC"/>
    <w:rsid w:val="008F6E57"/>
    <w:rsid w:val="00901BA0"/>
    <w:rsid w:val="00960D4C"/>
    <w:rsid w:val="009640EA"/>
    <w:rsid w:val="00981DDD"/>
    <w:rsid w:val="009824EB"/>
    <w:rsid w:val="009959C9"/>
    <w:rsid w:val="009B2DA8"/>
    <w:rsid w:val="009C63BE"/>
    <w:rsid w:val="009F11B4"/>
    <w:rsid w:val="00A00266"/>
    <w:rsid w:val="00A37F94"/>
    <w:rsid w:val="00A44900"/>
    <w:rsid w:val="00A64B96"/>
    <w:rsid w:val="00A65B13"/>
    <w:rsid w:val="00A766AE"/>
    <w:rsid w:val="00B12D43"/>
    <w:rsid w:val="00B30A86"/>
    <w:rsid w:val="00B41726"/>
    <w:rsid w:val="00B463FA"/>
    <w:rsid w:val="00B5379C"/>
    <w:rsid w:val="00B77569"/>
    <w:rsid w:val="00B801AA"/>
    <w:rsid w:val="00BA580A"/>
    <w:rsid w:val="00BA7E5B"/>
    <w:rsid w:val="00BB0440"/>
    <w:rsid w:val="00BB7D72"/>
    <w:rsid w:val="00BC2AC8"/>
    <w:rsid w:val="00BD5F3C"/>
    <w:rsid w:val="00BF0FD4"/>
    <w:rsid w:val="00C03C45"/>
    <w:rsid w:val="00C306D9"/>
    <w:rsid w:val="00C3332B"/>
    <w:rsid w:val="00C630F0"/>
    <w:rsid w:val="00C9335C"/>
    <w:rsid w:val="00C9763D"/>
    <w:rsid w:val="00CC3EAD"/>
    <w:rsid w:val="00CD05E6"/>
    <w:rsid w:val="00D108BC"/>
    <w:rsid w:val="00D123E2"/>
    <w:rsid w:val="00D363A2"/>
    <w:rsid w:val="00D51F60"/>
    <w:rsid w:val="00D52CCA"/>
    <w:rsid w:val="00D54268"/>
    <w:rsid w:val="00D66816"/>
    <w:rsid w:val="00D77136"/>
    <w:rsid w:val="00D82415"/>
    <w:rsid w:val="00D93602"/>
    <w:rsid w:val="00DA28A3"/>
    <w:rsid w:val="00DB5DEC"/>
    <w:rsid w:val="00DC4685"/>
    <w:rsid w:val="00DE6536"/>
    <w:rsid w:val="00DF1DF9"/>
    <w:rsid w:val="00DF26FF"/>
    <w:rsid w:val="00E047E1"/>
    <w:rsid w:val="00E14392"/>
    <w:rsid w:val="00E51634"/>
    <w:rsid w:val="00E51B50"/>
    <w:rsid w:val="00E70C43"/>
    <w:rsid w:val="00E76397"/>
    <w:rsid w:val="00E81CAD"/>
    <w:rsid w:val="00EC51B4"/>
    <w:rsid w:val="00EC79A7"/>
    <w:rsid w:val="00EE5F25"/>
    <w:rsid w:val="00F14041"/>
    <w:rsid w:val="00F35E39"/>
    <w:rsid w:val="00F4203D"/>
    <w:rsid w:val="00F5082F"/>
    <w:rsid w:val="00FA0C2C"/>
    <w:rsid w:val="00FC18DA"/>
    <w:rsid w:val="00FD17CD"/>
    <w:rsid w:val="00FE5B9C"/>
    <w:rsid w:val="0277ACC9"/>
    <w:rsid w:val="035D4B22"/>
    <w:rsid w:val="072F8B6E"/>
    <w:rsid w:val="0C5E80F5"/>
    <w:rsid w:val="0D90F59B"/>
    <w:rsid w:val="0E3B1B8F"/>
    <w:rsid w:val="18E6B8DC"/>
    <w:rsid w:val="1C4C01B4"/>
    <w:rsid w:val="1E0B9302"/>
    <w:rsid w:val="2677779A"/>
    <w:rsid w:val="26CBC8F2"/>
    <w:rsid w:val="27368B52"/>
    <w:rsid w:val="291E3591"/>
    <w:rsid w:val="2A107E11"/>
    <w:rsid w:val="2BB587B7"/>
    <w:rsid w:val="3225B36D"/>
    <w:rsid w:val="3826FA85"/>
    <w:rsid w:val="382A3B3A"/>
    <w:rsid w:val="42342FC6"/>
    <w:rsid w:val="4499BD63"/>
    <w:rsid w:val="44D80209"/>
    <w:rsid w:val="476DF3D5"/>
    <w:rsid w:val="491B710D"/>
    <w:rsid w:val="4B69FC9B"/>
    <w:rsid w:val="4CA1D5F9"/>
    <w:rsid w:val="4D17168B"/>
    <w:rsid w:val="51EA5821"/>
    <w:rsid w:val="52A782D1"/>
    <w:rsid w:val="5CCACB04"/>
    <w:rsid w:val="5F5F05E0"/>
    <w:rsid w:val="5FF90349"/>
    <w:rsid w:val="61E1597B"/>
    <w:rsid w:val="6774CDEC"/>
    <w:rsid w:val="67C2A80E"/>
    <w:rsid w:val="6BB64E75"/>
    <w:rsid w:val="6DEBF8A8"/>
    <w:rsid w:val="702B62DB"/>
    <w:rsid w:val="736A1C77"/>
    <w:rsid w:val="78897294"/>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116B09F0-645D-4C68-817F-A9DDBF94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styleId="Revision">
    <w:name w:val="Revision"/>
    <w:hidden/>
    <w:uiPriority w:val="99"/>
    <w:semiHidden/>
    <w:rsid w:val="00464C35"/>
    <w:pPr>
      <w:spacing w:after="0" w:line="240" w:lineRule="auto"/>
    </w:pPr>
  </w:style>
  <w:style w:type="character" w:styleId="CommentReference">
    <w:name w:val="annotation reference"/>
    <w:basedOn w:val="DefaultParagraphFont"/>
    <w:uiPriority w:val="99"/>
    <w:semiHidden/>
    <w:unhideWhenUsed/>
    <w:rsid w:val="009640EA"/>
    <w:rPr>
      <w:sz w:val="16"/>
      <w:szCs w:val="16"/>
    </w:rPr>
  </w:style>
  <w:style w:type="paragraph" w:styleId="CommentText">
    <w:name w:val="annotation text"/>
    <w:basedOn w:val="Normal"/>
    <w:link w:val="CommentTextChar"/>
    <w:uiPriority w:val="99"/>
    <w:unhideWhenUsed/>
    <w:rsid w:val="009640EA"/>
    <w:pPr>
      <w:spacing w:line="240" w:lineRule="auto"/>
    </w:pPr>
    <w:rPr>
      <w:sz w:val="20"/>
      <w:szCs w:val="20"/>
    </w:rPr>
  </w:style>
  <w:style w:type="character" w:customStyle="1" w:styleId="CommentTextChar">
    <w:name w:val="Comment Text Char"/>
    <w:basedOn w:val="DefaultParagraphFont"/>
    <w:link w:val="CommentText"/>
    <w:uiPriority w:val="99"/>
    <w:rsid w:val="009640EA"/>
    <w:rPr>
      <w:sz w:val="20"/>
      <w:szCs w:val="20"/>
    </w:rPr>
  </w:style>
  <w:style w:type="paragraph" w:styleId="CommentSubject">
    <w:name w:val="annotation subject"/>
    <w:basedOn w:val="CommentText"/>
    <w:next w:val="CommentText"/>
    <w:link w:val="CommentSubjectChar"/>
    <w:uiPriority w:val="99"/>
    <w:semiHidden/>
    <w:unhideWhenUsed/>
    <w:rsid w:val="009640EA"/>
    <w:rPr>
      <w:b/>
      <w:bCs/>
    </w:rPr>
  </w:style>
  <w:style w:type="character" w:customStyle="1" w:styleId="CommentSubjectChar">
    <w:name w:val="Comment Subject Char"/>
    <w:basedOn w:val="CommentTextChar"/>
    <w:link w:val="CommentSubject"/>
    <w:uiPriority w:val="99"/>
    <w:semiHidden/>
    <w:rsid w:val="009640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C1C0CF25C65048A7AD63C5B5753E1B" ma:contentTypeVersion="3" ma:contentTypeDescription="Create a new document." ma:contentTypeScope="" ma:versionID="50376c2aa76b0c05a3ffd21db5a80a4d">
  <xsd:schema xmlns:xsd="http://www.w3.org/2001/XMLSchema" xmlns:xs="http://www.w3.org/2001/XMLSchema" xmlns:p="http://schemas.microsoft.com/office/2006/metadata/properties" xmlns:ns2="853ca078-afc5-4b1e-969d-d080e4961dec" targetNamespace="http://schemas.microsoft.com/office/2006/metadata/properties" ma:root="true" ma:fieldsID="2440379f6a221dcea57025aec0f973db" ns2:_="">
    <xsd:import namespace="853ca078-afc5-4b1e-969d-d080e4961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a078-afc5-4b1e-969d-d080e4961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2.xml><?xml version="1.0" encoding="utf-8"?>
<ds:datastoreItem xmlns:ds="http://schemas.openxmlformats.org/officeDocument/2006/customXml" ds:itemID="{BED67A65-11F3-4D88-9251-B3F368A8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a078-afc5-4b1e-969d-d080e496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2813</Characters>
  <Application>Microsoft Office Word</Application>
  <DocSecurity>4</DocSecurity>
  <Lines>66</Lines>
  <Paragraphs>36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Holly Harms</cp:lastModifiedBy>
  <cp:revision>12</cp:revision>
  <dcterms:created xsi:type="dcterms:W3CDTF">2026-02-05T05:54:00Z</dcterms:created>
  <dcterms:modified xsi:type="dcterms:W3CDTF">2026-03-16T14:53:00Z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0x01010033C1C0CF25C65048A7AD63C5B5753E1B</vt:lpwstr>
  </property>
</Properties>
</file>