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6646" w:rsidRDefault="002728D9" w:rsidP="002728D9">
      <w:r w:rsidRPr="00276646">
        <w:rPr>
          <w:b/>
        </w:rPr>
        <w:t>Role Profile Addendum</w:t>
      </w:r>
      <w:r w:rsidR="008F6E57" w:rsidRPr="00276646">
        <w:t xml:space="preserve"> </w:t>
      </w:r>
    </w:p>
    <w:p w14:paraId="77429D9B" w14:textId="77777777" w:rsidR="002728D9" w:rsidRPr="00276646" w:rsidRDefault="002728D9" w:rsidP="002728D9">
      <w:r w:rsidRPr="00276646">
        <w:rPr>
          <w:b/>
        </w:rPr>
        <w:t>(to be completed for generic role profiles, mapped to multiple positions)</w:t>
      </w:r>
      <w:r w:rsidRPr="00276646">
        <w:t>   </w:t>
      </w:r>
    </w:p>
    <w:p w14:paraId="4CF360B6" w14:textId="42D11AB4" w:rsidR="002728D9" w:rsidRPr="00276646" w:rsidRDefault="002728D9" w:rsidP="002728D9">
      <w:r w:rsidRPr="00276646">
        <w:t>Please provide details specific to this position. While this information will not be used for job evaluation purposes, it will support processes such as recruitment and selection, salary supplements, performance management, and other relevant business processes. </w:t>
      </w:r>
    </w:p>
    <w:tbl>
      <w:tblPr>
        <w:tblW w:w="10207" w:type="dxa"/>
        <w:tblInd w:w="-151" w:type="dxa"/>
        <w:tblCellMar>
          <w:left w:w="100" w:type="dxa"/>
          <w:right w:w="100" w:type="dxa"/>
        </w:tblCellMar>
        <w:tblLook w:val="04A0" w:firstRow="1" w:lastRow="0" w:firstColumn="1" w:lastColumn="0" w:noHBand="0" w:noVBand="1"/>
      </w:tblPr>
      <w:tblGrid>
        <w:gridCol w:w="2769"/>
        <w:gridCol w:w="7438"/>
      </w:tblGrid>
      <w:tr w:rsidR="0004713B" w:rsidRPr="0004713B" w14:paraId="0DCA0E9C" w14:textId="77777777" w:rsidTr="00B05632">
        <w:trPr>
          <w:trHeight w:val="464"/>
        </w:trPr>
        <w:tc>
          <w:tcPr>
            <w:tcW w:w="2769" w:type="dxa"/>
            <w:tcBorders>
              <w:top w:val="single" w:sz="7" w:space="0" w:color="auto"/>
              <w:left w:val="single" w:sz="7" w:space="0" w:color="auto"/>
              <w:bottom w:val="single" w:sz="7" w:space="0" w:color="FFFFFF" w:themeColor="background1"/>
              <w:right w:val="single" w:sz="3" w:space="0" w:color="auto"/>
            </w:tcBorders>
            <w:shd w:val="clear" w:color="auto" w:fill="00B050"/>
            <w:vAlign w:val="center"/>
            <w:hideMark/>
          </w:tcPr>
          <w:p w14:paraId="071A21CE" w14:textId="3A1399E7" w:rsidR="0004713B" w:rsidRPr="00276646" w:rsidRDefault="002728D9" w:rsidP="0004713B">
            <w:pPr>
              <w:spacing w:after="0" w:line="240" w:lineRule="auto"/>
              <w:rPr>
                <w:rFonts w:eastAsia="Times New Roman"/>
                <w:b/>
                <w:color w:val="FFFFFF"/>
                <w:kern w:val="0"/>
                <w:lang w:eastAsia="en-GB"/>
                <w14:ligatures w14:val="none"/>
              </w:rPr>
            </w:pPr>
            <w:r w:rsidRPr="00276646">
              <w:t> </w:t>
            </w:r>
            <w:r w:rsidR="0004713B" w:rsidRPr="00276646">
              <w:rPr>
                <w:rFonts w:eastAsia="Times New Roman"/>
                <w:b/>
                <w:color w:val="FFFFFF"/>
                <w:kern w:val="0"/>
                <w:lang w:eastAsia="en-GB"/>
                <w14:ligatures w14:val="none"/>
              </w:rPr>
              <w:t>Job Title:</w:t>
            </w:r>
          </w:p>
        </w:tc>
        <w:tc>
          <w:tcPr>
            <w:tcW w:w="7438" w:type="dxa"/>
            <w:tcBorders>
              <w:top w:val="single" w:sz="7" w:space="0" w:color="auto"/>
              <w:left w:val="nil"/>
              <w:bottom w:val="single" w:sz="3" w:space="0" w:color="auto"/>
              <w:right w:val="single" w:sz="7" w:space="0" w:color="auto"/>
            </w:tcBorders>
            <w:vAlign w:val="center"/>
          </w:tcPr>
          <w:p w14:paraId="75991BBD" w14:textId="6391E68F" w:rsidR="0004713B" w:rsidRPr="00276646" w:rsidRDefault="00E256E0" w:rsidP="00FE5B9C">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Head of Service Centre</w:t>
            </w:r>
          </w:p>
        </w:tc>
      </w:tr>
      <w:tr w:rsidR="0004713B" w:rsidRPr="0004713B" w14:paraId="57ABDC96" w14:textId="77777777" w:rsidTr="00B05632">
        <w:trPr>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tcPr>
          <w:p w14:paraId="1B9F2E59" w14:textId="53034CFF" w:rsidR="0004713B" w:rsidRPr="00276646" w:rsidRDefault="0004713B" w:rsidP="71F1DBAE">
            <w:pPr>
              <w:spacing w:after="0" w:line="240" w:lineRule="auto"/>
              <w:rPr>
                <w:rFonts w:eastAsia="Times New Roman"/>
                <w:b/>
                <w:bCs/>
                <w:color w:val="FFFFFF"/>
                <w:kern w:val="0"/>
                <w:lang w:eastAsia="en-GB"/>
                <w14:ligatures w14:val="none"/>
              </w:rPr>
            </w:pPr>
            <w:r w:rsidRPr="71F1DBAE">
              <w:rPr>
                <w:rFonts w:eastAsia="Times New Roman"/>
                <w:b/>
                <w:bCs/>
                <w:color w:val="FFFFFF"/>
                <w:kern w:val="0"/>
                <w:lang w:eastAsia="en-GB"/>
                <w14:ligatures w14:val="none"/>
              </w:rPr>
              <w:t>Role Profile Ref:</w:t>
            </w:r>
          </w:p>
        </w:tc>
        <w:tc>
          <w:tcPr>
            <w:tcW w:w="7438" w:type="dxa"/>
            <w:tcBorders>
              <w:top w:val="single" w:sz="7" w:space="0" w:color="auto"/>
              <w:left w:val="nil"/>
              <w:bottom w:val="single" w:sz="3" w:space="0" w:color="auto"/>
              <w:right w:val="single" w:sz="7" w:space="0" w:color="auto"/>
            </w:tcBorders>
            <w:vAlign w:val="center"/>
          </w:tcPr>
          <w:p w14:paraId="44C1BE3C" w14:textId="60DE330C" w:rsidR="0004713B" w:rsidRPr="00276646" w:rsidRDefault="00235F80" w:rsidP="035D4B22">
            <w:pPr>
              <w:spacing w:after="0" w:line="240" w:lineRule="auto"/>
              <w:rPr>
                <w:rFonts w:eastAsia="Arial"/>
                <w:kern w:val="0"/>
                <w14:ligatures w14:val="none"/>
              </w:rPr>
            </w:pPr>
            <w:r>
              <w:rPr>
                <w:rFonts w:eastAsia="Arial"/>
                <w:kern w:val="0"/>
                <w14:ligatures w14:val="none"/>
              </w:rPr>
              <w:t>MUL060</w:t>
            </w:r>
          </w:p>
        </w:tc>
      </w:tr>
      <w:tr w:rsidR="00104263" w:rsidRPr="0004713B" w14:paraId="74DC8504" w14:textId="77777777" w:rsidTr="00B0563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773A49B2" w14:textId="40ADB684"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Role Profile Title</w:t>
            </w:r>
            <w:r w:rsidR="00BD5F3C">
              <w:rPr>
                <w:rFonts w:eastAsia="Times New Roman"/>
                <w:b/>
                <w:color w:val="FFFFFF"/>
                <w:kern w:val="0"/>
                <w:lang w:eastAsia="en-GB"/>
                <w14:ligatures w14:val="none"/>
              </w:rPr>
              <w:t>:</w:t>
            </w:r>
          </w:p>
        </w:tc>
        <w:tc>
          <w:tcPr>
            <w:tcW w:w="7438" w:type="dxa"/>
            <w:tcBorders>
              <w:top w:val="nil"/>
              <w:left w:val="nil"/>
              <w:bottom w:val="single" w:sz="3" w:space="0" w:color="auto"/>
              <w:right w:val="single" w:sz="7" w:space="0" w:color="auto"/>
            </w:tcBorders>
            <w:vAlign w:val="center"/>
          </w:tcPr>
          <w:p w14:paraId="122A1E63" w14:textId="757714FE" w:rsidR="00104263" w:rsidRPr="00276646" w:rsidRDefault="00B05632" w:rsidP="00FE5B9C">
            <w:pPr>
              <w:spacing w:after="0"/>
              <w:rPr>
                <w:rFonts w:eastAsia="Times New Roman"/>
                <w:color w:val="000000"/>
                <w:kern w:val="0"/>
                <w:lang w:eastAsia="en-GB"/>
                <w14:ligatures w14:val="none"/>
              </w:rPr>
            </w:pPr>
            <w:r>
              <w:rPr>
                <w:rFonts w:eastAsia="Times New Roman"/>
                <w:color w:val="000000"/>
                <w:kern w:val="0"/>
                <w:lang w:eastAsia="en-GB"/>
                <w14:ligatures w14:val="none"/>
              </w:rPr>
              <w:t>Head of Service</w:t>
            </w:r>
            <w:r w:rsidR="00A348C9">
              <w:rPr>
                <w:rFonts w:eastAsia="Times New Roman"/>
                <w:color w:val="000000"/>
                <w:kern w:val="0"/>
                <w:lang w:eastAsia="en-GB"/>
                <w14:ligatures w14:val="none"/>
              </w:rPr>
              <w:t xml:space="preserve"> 1</w:t>
            </w:r>
          </w:p>
        </w:tc>
      </w:tr>
      <w:tr w:rsidR="00104263" w:rsidRPr="0004713B" w14:paraId="318EAAF2" w14:textId="77777777" w:rsidTr="00B0563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4AE7EE7A" w14:textId="633FC4A9"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Directorate</w:t>
            </w:r>
            <w:r w:rsidR="00BD5F3C">
              <w:rPr>
                <w:rFonts w:eastAsia="Times New Roman"/>
                <w:b/>
                <w:color w:val="FFFFFF"/>
                <w:kern w:val="0"/>
                <w:lang w:eastAsia="en-GB"/>
                <w14:ligatures w14:val="none"/>
              </w:rPr>
              <w:t>:</w:t>
            </w:r>
          </w:p>
        </w:tc>
        <w:tc>
          <w:tcPr>
            <w:tcW w:w="7438" w:type="dxa"/>
            <w:tcBorders>
              <w:top w:val="nil"/>
              <w:left w:val="nil"/>
              <w:bottom w:val="single" w:sz="3" w:space="0" w:color="auto"/>
              <w:right w:val="single" w:sz="7" w:space="0" w:color="auto"/>
            </w:tcBorders>
            <w:vAlign w:val="center"/>
            <w:hideMark/>
          </w:tcPr>
          <w:p w14:paraId="3EB49A42" w14:textId="51F78E42" w:rsidR="00104263" w:rsidRPr="00276646" w:rsidRDefault="00E256E0" w:rsidP="00104263">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People and Culture</w:t>
            </w:r>
          </w:p>
        </w:tc>
      </w:tr>
      <w:tr w:rsidR="00104263" w:rsidRPr="0004713B" w14:paraId="4A584057" w14:textId="77777777" w:rsidTr="00B05632">
        <w:trPr>
          <w:cantSplit/>
          <w:trHeight w:val="464"/>
        </w:trPr>
        <w:tc>
          <w:tcPr>
            <w:tcW w:w="2769" w:type="dxa"/>
            <w:tcBorders>
              <w:top w:val="single" w:sz="7" w:space="0" w:color="FFFFFF" w:themeColor="background1"/>
              <w:left w:val="single" w:sz="7" w:space="0" w:color="auto"/>
              <w:bottom w:val="single" w:sz="7" w:space="0" w:color="auto"/>
              <w:right w:val="single" w:sz="3" w:space="0" w:color="auto"/>
            </w:tcBorders>
            <w:shd w:val="clear" w:color="auto" w:fill="00B050"/>
            <w:vAlign w:val="center"/>
            <w:hideMark/>
          </w:tcPr>
          <w:p w14:paraId="4940DF01" w14:textId="20687804"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Service area</w:t>
            </w:r>
            <w:r w:rsidR="00BD5F3C">
              <w:rPr>
                <w:rFonts w:eastAsia="Times New Roman"/>
                <w:b/>
                <w:color w:val="FFFFFF"/>
                <w:kern w:val="0"/>
                <w:lang w:eastAsia="en-GB"/>
                <w14:ligatures w14:val="none"/>
              </w:rPr>
              <w:t>:</w:t>
            </w:r>
          </w:p>
        </w:tc>
        <w:tc>
          <w:tcPr>
            <w:tcW w:w="7438" w:type="dxa"/>
            <w:tcBorders>
              <w:top w:val="nil"/>
              <w:left w:val="nil"/>
              <w:bottom w:val="single" w:sz="7" w:space="0" w:color="auto"/>
              <w:right w:val="single" w:sz="7" w:space="0" w:color="auto"/>
            </w:tcBorders>
            <w:vAlign w:val="center"/>
            <w:hideMark/>
          </w:tcPr>
          <w:p w14:paraId="26349581" w14:textId="62912722" w:rsidR="00104263" w:rsidRPr="00276646" w:rsidRDefault="00B05632" w:rsidP="00DF2342">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Payroll, Pensions, Reward and People &amp; Culture Systems</w:t>
            </w:r>
          </w:p>
        </w:tc>
      </w:tr>
    </w:tbl>
    <w:p w14:paraId="2FD20B46" w14:textId="01EA3D22" w:rsidR="002728D9" w:rsidRPr="00276646" w:rsidRDefault="002728D9" w:rsidP="002728D9"/>
    <w:tbl>
      <w:tblPr>
        <w:tblW w:w="13467"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5"/>
        <w:gridCol w:w="13332"/>
      </w:tblGrid>
      <w:tr w:rsidR="002728D9" w:rsidRPr="002728D9" w14:paraId="3801DABA" w14:textId="77777777" w:rsidTr="00F35016">
        <w:trPr>
          <w:trHeight w:val="555"/>
        </w:trPr>
        <w:tc>
          <w:tcPr>
            <w:tcW w:w="13467"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276646" w:rsidRDefault="002728D9" w:rsidP="002728D9">
            <w:r w:rsidRPr="00276646">
              <w:rPr>
                <w:b/>
              </w:rPr>
              <w:t>Specific responsibilities associated with this position</w:t>
            </w:r>
            <w:r w:rsidRPr="00276646">
              <w:t> </w:t>
            </w:r>
          </w:p>
        </w:tc>
      </w:tr>
      <w:tr w:rsidR="002728D9" w:rsidRPr="002728D9" w14:paraId="11E5DDE6" w14:textId="77777777" w:rsidTr="00BA705E">
        <w:trPr>
          <w:trHeight w:val="1950"/>
        </w:trPr>
        <w:tc>
          <w:tcPr>
            <w:tcW w:w="13467" w:type="dxa"/>
            <w:gridSpan w:val="2"/>
            <w:tcBorders>
              <w:top w:val="nil"/>
              <w:left w:val="single" w:sz="6" w:space="0" w:color="auto"/>
              <w:bottom w:val="nil"/>
              <w:right w:val="single" w:sz="6" w:space="0" w:color="auto"/>
            </w:tcBorders>
          </w:tcPr>
          <w:p w14:paraId="110A5047" w14:textId="77777777" w:rsidR="00C628CC" w:rsidRPr="00C628CC" w:rsidRDefault="00C628CC" w:rsidP="00C628CC">
            <w:pPr>
              <w:spacing w:after="0" w:line="300" w:lineRule="atLeast"/>
              <w:rPr>
                <w:b/>
                <w:bCs/>
              </w:rPr>
            </w:pPr>
            <w:r w:rsidRPr="00C628CC">
              <w:rPr>
                <w:b/>
                <w:bCs/>
              </w:rPr>
              <w:t>Service context</w:t>
            </w:r>
          </w:p>
          <w:p w14:paraId="53B67DBF" w14:textId="0D9ABF5C" w:rsidR="00C628CC" w:rsidRPr="00C628CC" w:rsidRDefault="00C628CC" w:rsidP="00C628CC">
            <w:pPr>
              <w:spacing w:after="0" w:line="300" w:lineRule="atLeast"/>
            </w:pPr>
            <w:r w:rsidRPr="00C628CC">
              <w:t>The role operates within a complex, high</w:t>
            </w:r>
            <w:r w:rsidRPr="00C628CC">
              <w:noBreakHyphen/>
              <w:t xml:space="preserve">risk service environment delivering </w:t>
            </w:r>
            <w:r w:rsidRPr="00975345">
              <w:t>critical Reward,</w:t>
            </w:r>
            <w:r w:rsidR="00975345" w:rsidRPr="00975345">
              <w:t xml:space="preserve"> Systems</w:t>
            </w:r>
            <w:r w:rsidR="00975345">
              <w:t>,</w:t>
            </w:r>
            <w:r w:rsidRPr="00C628CC">
              <w:t xml:space="preserve"> Payroll and Pensions services across a </w:t>
            </w:r>
            <w:r w:rsidR="00975345">
              <w:t>complex</w:t>
            </w:r>
            <w:r w:rsidRPr="00C628CC">
              <w:t xml:space="preserve"> landscape.</w:t>
            </w:r>
            <w:r w:rsidR="003C75F0">
              <w:t xml:space="preserve"> The role requires a</w:t>
            </w:r>
            <w:r w:rsidRPr="00C628CC">
              <w:t xml:space="preserve"> strong focus on statutory compliance, assurance, pay governance and service resilience.</w:t>
            </w:r>
          </w:p>
          <w:p w14:paraId="1B02ECF1" w14:textId="77777777" w:rsidR="00C628CC" w:rsidRPr="00C628CC" w:rsidRDefault="00C628CC" w:rsidP="00C628CC">
            <w:pPr>
              <w:spacing w:after="0" w:line="300" w:lineRule="atLeast"/>
              <w:rPr>
                <w:b/>
                <w:bCs/>
              </w:rPr>
            </w:pPr>
            <w:r w:rsidRPr="00C628CC">
              <w:rPr>
                <w:b/>
                <w:bCs/>
              </w:rPr>
              <w:t>Operational leadership and service delivery</w:t>
            </w:r>
          </w:p>
          <w:p w14:paraId="5A48AA3F" w14:textId="063B87F0" w:rsidR="00C628CC" w:rsidRPr="00C628CC" w:rsidRDefault="00C628CC" w:rsidP="00C628CC">
            <w:pPr>
              <w:numPr>
                <w:ilvl w:val="0"/>
                <w:numId w:val="13"/>
              </w:numPr>
              <w:spacing w:after="0" w:line="300" w:lineRule="atLeast"/>
            </w:pPr>
            <w:r w:rsidRPr="00C628CC">
              <w:t xml:space="preserve">Provide strategic and operational leadership to </w:t>
            </w:r>
            <w:r w:rsidRPr="003C75F0">
              <w:t>Reward</w:t>
            </w:r>
            <w:r w:rsidRPr="00C628CC">
              <w:t>, Payroll, Pensions</w:t>
            </w:r>
            <w:r w:rsidR="003C75F0">
              <w:t xml:space="preserve"> </w:t>
            </w:r>
            <w:r w:rsidRPr="00C628CC">
              <w:t>and Systems teams via Team Managers, ensuring sufficient resilience to protect business</w:t>
            </w:r>
            <w:r w:rsidRPr="00C628CC">
              <w:noBreakHyphen/>
              <w:t>as</w:t>
            </w:r>
            <w:r w:rsidRPr="00C628CC">
              <w:noBreakHyphen/>
              <w:t>usual activity, pay processing and statutory payroll deadlines while enabling change and improvement activity.</w:t>
            </w:r>
          </w:p>
          <w:p w14:paraId="30B824C7" w14:textId="77777777" w:rsidR="00C628CC" w:rsidRPr="00C628CC" w:rsidRDefault="00C628CC" w:rsidP="00C628CC">
            <w:pPr>
              <w:numPr>
                <w:ilvl w:val="0"/>
                <w:numId w:val="13"/>
              </w:numPr>
              <w:spacing w:after="0" w:line="300" w:lineRule="atLeast"/>
            </w:pPr>
            <w:r w:rsidRPr="00C628CC">
              <w:t>Ensure pay, reward and contractual arrangements are implemented accurately and consistently, aligned to approved frameworks and council policy.</w:t>
            </w:r>
          </w:p>
          <w:p w14:paraId="2367C3BB" w14:textId="77777777" w:rsidR="00C628CC" w:rsidRPr="00C628CC" w:rsidRDefault="00C628CC" w:rsidP="00C628CC">
            <w:pPr>
              <w:numPr>
                <w:ilvl w:val="0"/>
                <w:numId w:val="13"/>
              </w:numPr>
              <w:spacing w:after="0" w:line="300" w:lineRule="atLeast"/>
            </w:pPr>
            <w:r w:rsidRPr="00C628CC">
              <w:t>Maintain oversight of complex and high</w:t>
            </w:r>
            <w:r w:rsidRPr="00C628CC">
              <w:noBreakHyphen/>
              <w:t>profile risks, intervening where necessary and escalating appropriately.</w:t>
            </w:r>
          </w:p>
          <w:p w14:paraId="5ECCA3D0" w14:textId="77777777" w:rsidR="00C628CC" w:rsidRPr="00C628CC" w:rsidRDefault="00C628CC" w:rsidP="00C628CC">
            <w:pPr>
              <w:spacing w:after="0" w:line="300" w:lineRule="atLeast"/>
              <w:rPr>
                <w:b/>
                <w:bCs/>
              </w:rPr>
            </w:pPr>
            <w:r w:rsidRPr="00C628CC">
              <w:rPr>
                <w:b/>
                <w:bCs/>
              </w:rPr>
              <w:t>Reward, pay and statutory assurance</w:t>
            </w:r>
          </w:p>
          <w:p w14:paraId="6BB55C52" w14:textId="77777777" w:rsidR="00C628CC" w:rsidRPr="00C628CC" w:rsidRDefault="00C628CC" w:rsidP="00C628CC">
            <w:pPr>
              <w:numPr>
                <w:ilvl w:val="0"/>
                <w:numId w:val="11"/>
              </w:numPr>
              <w:spacing w:after="0" w:line="300" w:lineRule="atLeast"/>
            </w:pPr>
            <w:r w:rsidRPr="00C628CC">
              <w:lastRenderedPageBreak/>
              <w:t xml:space="preserve">Provide senior oversight and assurance across </w:t>
            </w:r>
            <w:r w:rsidRPr="00B87A04">
              <w:t>reward and pay delivery</w:t>
            </w:r>
            <w:r w:rsidRPr="00C628CC">
              <w:t>, including job evaluation application, pay structures, allowances, market supplements and contractual variations, ensuring decisions are lawful, auditable and applied consistently.</w:t>
            </w:r>
          </w:p>
          <w:p w14:paraId="27A39600" w14:textId="77777777" w:rsidR="00C628CC" w:rsidRPr="00C628CC" w:rsidRDefault="00C628CC" w:rsidP="00C628CC">
            <w:pPr>
              <w:numPr>
                <w:ilvl w:val="0"/>
                <w:numId w:val="11"/>
              </w:numPr>
              <w:spacing w:after="0" w:line="300" w:lineRule="atLeast"/>
            </w:pPr>
            <w:r w:rsidRPr="00C628CC">
              <w:t>Provide senior oversight across payroll and pensions delivery, including PAYE, National Insurance, statutory payments and deductions, and public sector pension schemes (LGPS and Teachers’ Pensions).</w:t>
            </w:r>
          </w:p>
          <w:p w14:paraId="49BE3A2B" w14:textId="77777777" w:rsidR="00C628CC" w:rsidRPr="00C628CC" w:rsidRDefault="00C628CC" w:rsidP="00C628CC">
            <w:pPr>
              <w:numPr>
                <w:ilvl w:val="0"/>
                <w:numId w:val="11"/>
              </w:numPr>
              <w:spacing w:after="0" w:line="300" w:lineRule="atLeast"/>
            </w:pPr>
            <w:r w:rsidRPr="00C628CC">
              <w:t>Lead internal and external audits across reward, payroll and pensions activity, providing assurance on compliance, accuracy and control effectiveness.</w:t>
            </w:r>
          </w:p>
          <w:p w14:paraId="21CA57FE" w14:textId="77777777" w:rsidR="00C628CC" w:rsidRPr="00C628CC" w:rsidRDefault="00C628CC" w:rsidP="00C628CC">
            <w:pPr>
              <w:numPr>
                <w:ilvl w:val="0"/>
                <w:numId w:val="11"/>
              </w:numPr>
              <w:spacing w:after="0" w:line="300" w:lineRule="atLeast"/>
            </w:pPr>
            <w:r w:rsidRPr="00C628CC">
              <w:t>Take ownership of audit findings and remediation actions, including responding to and, where appropriate, professionally challenging audit recommendations.</w:t>
            </w:r>
          </w:p>
          <w:p w14:paraId="6A9E72FA" w14:textId="77777777" w:rsidR="00C628CC" w:rsidRPr="00C628CC" w:rsidRDefault="00C628CC" w:rsidP="00C628CC">
            <w:pPr>
              <w:spacing w:after="0" w:line="300" w:lineRule="atLeast"/>
              <w:rPr>
                <w:b/>
                <w:bCs/>
              </w:rPr>
            </w:pPr>
            <w:r w:rsidRPr="00C628CC">
              <w:rPr>
                <w:b/>
                <w:bCs/>
              </w:rPr>
              <w:t>Systems leadership and governance</w:t>
            </w:r>
          </w:p>
          <w:p w14:paraId="5BADDA81" w14:textId="77777777" w:rsidR="00C628CC" w:rsidRPr="00C628CC" w:rsidRDefault="00C628CC" w:rsidP="00C628CC">
            <w:pPr>
              <w:numPr>
                <w:ilvl w:val="0"/>
                <w:numId w:val="3"/>
              </w:numPr>
              <w:spacing w:after="0" w:line="300" w:lineRule="atLeast"/>
            </w:pPr>
            <w:r w:rsidRPr="00C628CC">
              <w:t xml:space="preserve">Provide leadership of HR, payroll </w:t>
            </w:r>
            <w:r w:rsidRPr="00B87A04">
              <w:t>and reward</w:t>
            </w:r>
            <w:r w:rsidRPr="00B87A04">
              <w:noBreakHyphen/>
              <w:t>related system configuration</w:t>
            </w:r>
            <w:r w:rsidRPr="00C628CC">
              <w:t xml:space="preserve"> at a strategic level (not operational configuration), ensuring end</w:t>
            </w:r>
            <w:r w:rsidRPr="00C628CC">
              <w:noBreakHyphen/>
              <w:t>to</w:t>
            </w:r>
            <w:r w:rsidRPr="00C628CC">
              <w:noBreakHyphen/>
              <w:t>end system architecture, controls, interfaces and dependencies are understood and appropriately managed.</w:t>
            </w:r>
          </w:p>
          <w:p w14:paraId="37A4601B" w14:textId="77777777" w:rsidR="00C628CC" w:rsidRPr="00C628CC" w:rsidRDefault="00C628CC" w:rsidP="00C628CC">
            <w:pPr>
              <w:numPr>
                <w:ilvl w:val="0"/>
                <w:numId w:val="3"/>
              </w:numPr>
              <w:spacing w:after="0" w:line="300" w:lineRule="atLeast"/>
            </w:pPr>
            <w:r w:rsidRPr="00C628CC">
              <w:t>Ensure reward and pay framework changes are translated safely into system design and configuration, sequencing change to protect payroll accuracy and statutory compliance.</w:t>
            </w:r>
          </w:p>
          <w:p w14:paraId="3807AC19" w14:textId="77777777" w:rsidR="00C628CC" w:rsidRPr="00C628CC" w:rsidRDefault="00C628CC" w:rsidP="00C628CC">
            <w:pPr>
              <w:numPr>
                <w:ilvl w:val="0"/>
                <w:numId w:val="3"/>
              </w:numPr>
              <w:spacing w:after="0" w:line="300" w:lineRule="atLeast"/>
            </w:pPr>
            <w:r w:rsidRPr="00C628CC">
              <w:t>Oversee system audits, reconciliations and reporting to minimise corporate risk, protect pay and data integrity and enhance customer experience.</w:t>
            </w:r>
          </w:p>
          <w:p w14:paraId="19620F14" w14:textId="77777777" w:rsidR="00C628CC" w:rsidRPr="00C628CC" w:rsidRDefault="00C628CC" w:rsidP="00C628CC">
            <w:pPr>
              <w:spacing w:after="0" w:line="300" w:lineRule="atLeast"/>
              <w:rPr>
                <w:b/>
                <w:bCs/>
              </w:rPr>
            </w:pPr>
            <w:r w:rsidRPr="00C628CC">
              <w:rPr>
                <w:b/>
                <w:bCs/>
              </w:rPr>
              <w:t>Change, improvement and risk management</w:t>
            </w:r>
          </w:p>
          <w:p w14:paraId="61E93D7E" w14:textId="68FD35BD" w:rsidR="00C628CC" w:rsidRPr="00C628CC" w:rsidRDefault="00C628CC" w:rsidP="00C628CC">
            <w:pPr>
              <w:numPr>
                <w:ilvl w:val="0"/>
                <w:numId w:val="4"/>
              </w:numPr>
              <w:spacing w:after="0" w:line="300" w:lineRule="atLeast"/>
            </w:pPr>
            <w:r w:rsidRPr="00C628CC">
              <w:t xml:space="preserve">Lead the delivery of </w:t>
            </w:r>
            <w:r w:rsidRPr="009908A2">
              <w:t>Reward, Payroll, Pensions</w:t>
            </w:r>
            <w:r w:rsidR="009908A2">
              <w:t xml:space="preserve"> </w:t>
            </w:r>
            <w:r w:rsidRPr="00C628CC">
              <w:t>and Systems</w:t>
            </w:r>
            <w:r w:rsidRPr="00C628CC">
              <w:noBreakHyphen/>
              <w:t>related change and project activity, ensuring solutions reflect professional best practice within the constraints of multiple, interdependent systems.</w:t>
            </w:r>
          </w:p>
          <w:p w14:paraId="4BE8F2B3" w14:textId="77777777" w:rsidR="00C628CC" w:rsidRPr="00C628CC" w:rsidRDefault="00C628CC" w:rsidP="00C628CC">
            <w:pPr>
              <w:numPr>
                <w:ilvl w:val="0"/>
                <w:numId w:val="4"/>
              </w:numPr>
              <w:spacing w:after="0" w:line="300" w:lineRule="atLeast"/>
            </w:pPr>
            <w:r w:rsidRPr="00C628CC">
              <w:t>Support policy and process reviews relating to reward, pay and employment terms, making evidence</w:t>
            </w:r>
            <w:r w:rsidRPr="00C628CC">
              <w:noBreakHyphen/>
              <w:t>based recommendations informed by legislation, audit requirements and system capability.</w:t>
            </w:r>
          </w:p>
          <w:p w14:paraId="42B39465" w14:textId="77777777" w:rsidR="00C628CC" w:rsidRPr="00C628CC" w:rsidRDefault="00C628CC" w:rsidP="00C628CC">
            <w:pPr>
              <w:numPr>
                <w:ilvl w:val="0"/>
                <w:numId w:val="4"/>
              </w:numPr>
              <w:spacing w:after="0" w:line="300" w:lineRule="atLeast"/>
            </w:pPr>
            <w:r w:rsidRPr="00C628CC">
              <w:t>Balance innovation and transformation with the need to maintain pay governance, affordability, equity and statutory compliance, clearly articulating risk and impact to non</w:t>
            </w:r>
            <w:r w:rsidRPr="00C628CC">
              <w:noBreakHyphen/>
              <w:t>technical senior leaders.</w:t>
            </w:r>
          </w:p>
          <w:p w14:paraId="46D26E7F" w14:textId="325F890F" w:rsidR="009B6541" w:rsidRPr="00BA705E" w:rsidRDefault="009B6541" w:rsidP="00F36AB1">
            <w:pPr>
              <w:spacing w:after="0" w:line="300" w:lineRule="atLeast"/>
            </w:pPr>
          </w:p>
        </w:tc>
      </w:tr>
      <w:tr w:rsidR="002728D9" w:rsidRPr="002728D9" w14:paraId="20FF5F87" w14:textId="77777777" w:rsidTr="00F35016">
        <w:trPr>
          <w:trHeight w:val="555"/>
        </w:trPr>
        <w:tc>
          <w:tcPr>
            <w:tcW w:w="13467"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276646" w:rsidRDefault="002728D9" w:rsidP="002728D9">
            <w:r w:rsidRPr="00276646">
              <w:rPr>
                <w:b/>
              </w:rPr>
              <w:lastRenderedPageBreak/>
              <w:t>Specific person specification associated with this position</w:t>
            </w:r>
            <w:r w:rsidRPr="00276646">
              <w:t> </w:t>
            </w:r>
          </w:p>
        </w:tc>
      </w:tr>
      <w:tr w:rsidR="0094173C" w:rsidRPr="002728D9" w14:paraId="66FC891E" w14:textId="77777777" w:rsidTr="0094173C">
        <w:trPr>
          <w:trHeight w:val="555"/>
        </w:trPr>
        <w:tc>
          <w:tcPr>
            <w:tcW w:w="13467" w:type="dxa"/>
            <w:gridSpan w:val="2"/>
            <w:tcBorders>
              <w:top w:val="single" w:sz="6" w:space="0" w:color="auto"/>
              <w:left w:val="single" w:sz="6" w:space="0" w:color="auto"/>
              <w:bottom w:val="single" w:sz="6" w:space="0" w:color="auto"/>
              <w:right w:val="single" w:sz="6" w:space="0" w:color="000000" w:themeColor="text1"/>
            </w:tcBorders>
            <w:vAlign w:val="center"/>
          </w:tcPr>
          <w:p w14:paraId="1B4B275E" w14:textId="039854C5" w:rsidR="0094173C" w:rsidRPr="00D158B2" w:rsidRDefault="0094173C" w:rsidP="00D158B2">
            <w:pPr>
              <w:pStyle w:val="ListParagraph"/>
              <w:numPr>
                <w:ilvl w:val="0"/>
                <w:numId w:val="9"/>
              </w:numPr>
              <w:rPr>
                <w:bCs/>
              </w:rPr>
            </w:pPr>
            <w:r w:rsidRPr="00D158B2">
              <w:rPr>
                <w:bCs/>
              </w:rPr>
              <w:t>Senior</w:t>
            </w:r>
            <w:r w:rsidRPr="00D158B2">
              <w:rPr>
                <w:bCs/>
              </w:rPr>
              <w:noBreakHyphen/>
              <w:t>level ability to interpret and explain complex legislative, system and audit requirements to non</w:t>
            </w:r>
            <w:r w:rsidRPr="00D158B2">
              <w:rPr>
                <w:bCs/>
              </w:rPr>
              <w:noBreakHyphen/>
              <w:t xml:space="preserve">technical leaders. </w:t>
            </w:r>
          </w:p>
          <w:p w14:paraId="2D320808" w14:textId="7308FBFB" w:rsidR="0094173C" w:rsidRPr="00D158B2" w:rsidRDefault="0094173C" w:rsidP="00D158B2">
            <w:pPr>
              <w:pStyle w:val="ListParagraph"/>
              <w:numPr>
                <w:ilvl w:val="0"/>
                <w:numId w:val="9"/>
              </w:numPr>
              <w:rPr>
                <w:bCs/>
              </w:rPr>
            </w:pPr>
            <w:r w:rsidRPr="00D158B2">
              <w:rPr>
                <w:bCs/>
              </w:rPr>
              <w:t>High</w:t>
            </w:r>
            <w:r w:rsidRPr="00D158B2">
              <w:rPr>
                <w:bCs/>
              </w:rPr>
              <w:noBreakHyphen/>
              <w:t xml:space="preserve">level knowledge (not operational delivery) of: </w:t>
            </w:r>
          </w:p>
          <w:p w14:paraId="736AEE4C" w14:textId="77777777" w:rsidR="0094173C" w:rsidRPr="00D158B2" w:rsidRDefault="0094173C" w:rsidP="00D158B2">
            <w:pPr>
              <w:pStyle w:val="ListParagraph"/>
              <w:numPr>
                <w:ilvl w:val="0"/>
                <w:numId w:val="9"/>
              </w:numPr>
              <w:rPr>
                <w:bCs/>
              </w:rPr>
            </w:pPr>
            <w:r w:rsidRPr="00D158B2">
              <w:rPr>
                <w:bCs/>
              </w:rPr>
              <w:lastRenderedPageBreak/>
              <w:t>UK payroll legislation and statutory frameworks</w:t>
            </w:r>
          </w:p>
          <w:p w14:paraId="6844E02E" w14:textId="77777777" w:rsidR="0094173C" w:rsidRPr="00D158B2" w:rsidRDefault="0094173C" w:rsidP="00D158B2">
            <w:pPr>
              <w:pStyle w:val="ListParagraph"/>
              <w:numPr>
                <w:ilvl w:val="0"/>
                <w:numId w:val="9"/>
              </w:numPr>
              <w:rPr>
                <w:bCs/>
              </w:rPr>
            </w:pPr>
            <w:r w:rsidRPr="00D158B2">
              <w:rPr>
                <w:bCs/>
              </w:rPr>
              <w:t>Public sector pensions schemes (LGPS and Teachers’ Pensions)</w:t>
            </w:r>
          </w:p>
          <w:p w14:paraId="3559273E" w14:textId="77777777" w:rsidR="0094173C" w:rsidRPr="00D158B2" w:rsidRDefault="0094173C" w:rsidP="00D158B2">
            <w:pPr>
              <w:pStyle w:val="ListParagraph"/>
              <w:numPr>
                <w:ilvl w:val="0"/>
                <w:numId w:val="9"/>
              </w:numPr>
              <w:rPr>
                <w:bCs/>
              </w:rPr>
            </w:pPr>
            <w:r w:rsidRPr="00D158B2">
              <w:rPr>
                <w:bCs/>
              </w:rPr>
              <w:t>Employment legislation affecting pay, deductions and records</w:t>
            </w:r>
          </w:p>
          <w:p w14:paraId="384349E5" w14:textId="77777777" w:rsidR="0094173C" w:rsidRPr="00D158B2" w:rsidRDefault="0094173C" w:rsidP="00D158B2">
            <w:pPr>
              <w:pStyle w:val="ListParagraph"/>
              <w:numPr>
                <w:ilvl w:val="0"/>
                <w:numId w:val="9"/>
              </w:numPr>
              <w:rPr>
                <w:bCs/>
              </w:rPr>
            </w:pPr>
            <w:r w:rsidRPr="00D158B2">
              <w:rPr>
                <w:bCs/>
              </w:rPr>
              <w:t>Financial regulations, Standing Orders and audit requirements</w:t>
            </w:r>
          </w:p>
          <w:p w14:paraId="08769DE7" w14:textId="77777777" w:rsidR="0094173C" w:rsidRPr="00D158B2" w:rsidRDefault="0094173C" w:rsidP="00D158B2">
            <w:pPr>
              <w:pStyle w:val="ListParagraph"/>
              <w:numPr>
                <w:ilvl w:val="0"/>
                <w:numId w:val="9"/>
              </w:numPr>
              <w:rPr>
                <w:bCs/>
              </w:rPr>
            </w:pPr>
            <w:r w:rsidRPr="00D158B2">
              <w:rPr>
                <w:bCs/>
              </w:rPr>
              <w:t>Data protection and information governance</w:t>
            </w:r>
          </w:p>
          <w:p w14:paraId="499453E0" w14:textId="14DB4296" w:rsidR="0094173C" w:rsidRPr="00D158B2" w:rsidRDefault="0094173C" w:rsidP="00D158B2">
            <w:pPr>
              <w:pStyle w:val="ListParagraph"/>
              <w:numPr>
                <w:ilvl w:val="0"/>
                <w:numId w:val="9"/>
              </w:numPr>
              <w:rPr>
                <w:bCs/>
              </w:rPr>
            </w:pPr>
            <w:r w:rsidRPr="00D158B2">
              <w:rPr>
                <w:bCs/>
              </w:rPr>
              <w:t xml:space="preserve">Proven ability to lead services operating across multiple employers or client groups. </w:t>
            </w:r>
          </w:p>
          <w:p w14:paraId="5A62919D" w14:textId="55DE2351" w:rsidR="0094173C" w:rsidRPr="00D158B2" w:rsidRDefault="0094173C" w:rsidP="00D158B2">
            <w:pPr>
              <w:pStyle w:val="ListParagraph"/>
              <w:numPr>
                <w:ilvl w:val="0"/>
                <w:numId w:val="9"/>
              </w:numPr>
              <w:rPr>
                <w:bCs/>
              </w:rPr>
            </w:pPr>
            <w:r w:rsidRPr="00D158B2">
              <w:rPr>
                <w:bCs/>
              </w:rPr>
              <w:t xml:space="preserve">Strong judgement in knowing when to escalate risk and when to act decisively. </w:t>
            </w:r>
          </w:p>
          <w:p w14:paraId="12791AB1" w14:textId="36E47675" w:rsidR="0094173C" w:rsidRPr="00D158B2" w:rsidRDefault="0094173C" w:rsidP="00D158B2">
            <w:pPr>
              <w:pStyle w:val="ListParagraph"/>
              <w:numPr>
                <w:ilvl w:val="0"/>
                <w:numId w:val="9"/>
              </w:numPr>
              <w:rPr>
                <w:bCs/>
              </w:rPr>
            </w:pPr>
            <w:r w:rsidRPr="00D158B2">
              <w:rPr>
                <w:bCs/>
              </w:rPr>
              <w:t>Experience of sequencing change safely in high</w:t>
            </w:r>
            <w:r w:rsidRPr="00D158B2">
              <w:rPr>
                <w:bCs/>
              </w:rPr>
              <w:noBreakHyphen/>
              <w:t>risk operational environments.</w:t>
            </w:r>
          </w:p>
          <w:p w14:paraId="0D0E2C7D" w14:textId="2E3A2A52" w:rsidR="0032010B" w:rsidRPr="00D158B2" w:rsidRDefault="0032010B" w:rsidP="00D158B2">
            <w:pPr>
              <w:pStyle w:val="ListParagraph"/>
              <w:numPr>
                <w:ilvl w:val="0"/>
                <w:numId w:val="9"/>
              </w:numPr>
              <w:rPr>
                <w:bCs/>
              </w:rPr>
            </w:pPr>
            <w:r w:rsidRPr="00D158B2">
              <w:rPr>
                <w:bCs/>
              </w:rPr>
              <w:t>High</w:t>
            </w:r>
            <w:r w:rsidRPr="00D158B2">
              <w:rPr>
                <w:bCs/>
              </w:rPr>
              <w:noBreakHyphen/>
              <w:t xml:space="preserve">level understanding of </w:t>
            </w:r>
            <w:r w:rsidRPr="00D158B2">
              <w:t>reward frameworks</w:t>
            </w:r>
            <w:r w:rsidRPr="00D158B2">
              <w:rPr>
                <w:bCs/>
              </w:rPr>
              <w:t>, job evaluation application, pay structures, allowances and market</w:t>
            </w:r>
            <w:r w:rsidRPr="00D158B2">
              <w:rPr>
                <w:bCs/>
              </w:rPr>
              <w:noBreakHyphen/>
              <w:t xml:space="preserve">based pay decisions within a public sector and unionised environment. </w:t>
            </w:r>
          </w:p>
          <w:p w14:paraId="73CD7A78" w14:textId="5C1ED103" w:rsidR="0032010B" w:rsidRPr="00D158B2" w:rsidRDefault="0032010B" w:rsidP="00D158B2">
            <w:pPr>
              <w:pStyle w:val="ListParagraph"/>
              <w:numPr>
                <w:ilvl w:val="0"/>
                <w:numId w:val="9"/>
              </w:numPr>
              <w:rPr>
                <w:bCs/>
              </w:rPr>
            </w:pPr>
            <w:r w:rsidRPr="00D158B2">
              <w:rPr>
                <w:bCs/>
              </w:rPr>
              <w:t>Ability to balance reward strategy delivery with affordability, equality, governance and system capability.</w:t>
            </w:r>
          </w:p>
          <w:p w14:paraId="40826F81" w14:textId="77777777" w:rsidR="0094173C" w:rsidRPr="00276646" w:rsidRDefault="0094173C" w:rsidP="002728D9">
            <w:pPr>
              <w:rPr>
                <w:b/>
              </w:rPr>
            </w:pPr>
          </w:p>
        </w:tc>
      </w:tr>
      <w:tr w:rsidR="002728D9" w:rsidRPr="002728D9" w14:paraId="1D7BBB1E" w14:textId="77777777" w:rsidTr="00F35016">
        <w:trPr>
          <w:trHeight w:val="555"/>
        </w:trPr>
        <w:tc>
          <w:tcPr>
            <w:tcW w:w="135" w:type="dxa"/>
            <w:tcBorders>
              <w:top w:val="outset" w:sz="6" w:space="0" w:color="auto"/>
              <w:left w:val="outset" w:sz="6" w:space="0" w:color="auto"/>
              <w:bottom w:val="outset" w:sz="6" w:space="0" w:color="auto"/>
              <w:right w:val="outset" w:sz="6" w:space="0" w:color="auto"/>
            </w:tcBorders>
            <w:hideMark/>
          </w:tcPr>
          <w:p w14:paraId="4080F8C3" w14:textId="77777777" w:rsidR="002728D9" w:rsidRPr="00276646" w:rsidRDefault="002728D9" w:rsidP="002728D9">
            <w:r w:rsidRPr="00276646">
              <w:lastRenderedPageBreak/>
              <w:t> </w:t>
            </w:r>
          </w:p>
        </w:tc>
        <w:tc>
          <w:tcPr>
            <w:tcW w:w="13332" w:type="dxa"/>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47695B56" w:rsidR="002728D9" w:rsidRPr="00276646" w:rsidRDefault="00CF1218" w:rsidP="00547C28">
            <w:r>
              <w:rPr>
                <w:b/>
              </w:rPr>
              <w:t xml:space="preserve">Other </w:t>
            </w:r>
            <w:r w:rsidR="00547C28" w:rsidRPr="00276646">
              <w:rPr>
                <w:b/>
              </w:rPr>
              <w:t>requirements for this position</w:t>
            </w:r>
          </w:p>
        </w:tc>
      </w:tr>
      <w:tr w:rsidR="002728D9" w:rsidRPr="002728D9" w14:paraId="5E6AAE2D" w14:textId="77777777" w:rsidTr="0094173C">
        <w:trPr>
          <w:trHeight w:val="1665"/>
        </w:trPr>
        <w:tc>
          <w:tcPr>
            <w:tcW w:w="135" w:type="dxa"/>
            <w:tcBorders>
              <w:top w:val="outset" w:sz="6" w:space="0" w:color="auto"/>
              <w:left w:val="outset" w:sz="6" w:space="0" w:color="auto"/>
              <w:bottom w:val="outset" w:sz="6" w:space="0" w:color="auto"/>
              <w:right w:val="outset" w:sz="6" w:space="0" w:color="auto"/>
            </w:tcBorders>
          </w:tcPr>
          <w:p w14:paraId="2EC6298B" w14:textId="57F5C334" w:rsidR="002728D9" w:rsidRPr="00276646" w:rsidRDefault="002728D9" w:rsidP="002728D9"/>
        </w:tc>
        <w:tc>
          <w:tcPr>
            <w:tcW w:w="13332" w:type="dxa"/>
            <w:tcBorders>
              <w:top w:val="single" w:sz="6" w:space="0" w:color="auto"/>
              <w:left w:val="single" w:sz="6" w:space="0" w:color="auto"/>
              <w:bottom w:val="single" w:sz="6" w:space="0" w:color="auto"/>
              <w:right w:val="single" w:sz="6" w:space="0" w:color="000000" w:themeColor="text1"/>
            </w:tcBorders>
          </w:tcPr>
          <w:p w14:paraId="5449126A" w14:textId="4ADB2C74" w:rsidR="00EA3195" w:rsidRDefault="00AD3514" w:rsidP="0032010B">
            <w:pPr>
              <w:spacing w:after="0" w:line="300" w:lineRule="atLeast"/>
              <w:ind w:left="720"/>
            </w:pPr>
            <w:r w:rsidRPr="00AD3514">
              <w:t>Health Surveillance: Will the postholder be exposed to hazards that will require health surveillance? No</w:t>
            </w:r>
          </w:p>
          <w:p w14:paraId="22432D0E" w14:textId="77777777" w:rsidR="000E26D9" w:rsidRDefault="000E26D9" w:rsidP="0032010B">
            <w:pPr>
              <w:spacing w:after="0" w:line="300" w:lineRule="atLeast"/>
              <w:ind w:left="720"/>
            </w:pPr>
          </w:p>
          <w:p w14:paraId="1A71EFBE" w14:textId="2C9AF80A" w:rsidR="008E4682" w:rsidRDefault="00AD3514" w:rsidP="0032010B">
            <w:pPr>
              <w:spacing w:after="0" w:line="300" w:lineRule="atLeast"/>
              <w:ind w:left="720"/>
            </w:pPr>
            <w:r w:rsidRPr="00AD3514">
              <w:t xml:space="preserve">Politically Restricted Posts: Is this post politically restricted? No </w:t>
            </w:r>
          </w:p>
          <w:p w14:paraId="2EAC13D4" w14:textId="77777777" w:rsidR="00064739" w:rsidRDefault="00064739" w:rsidP="0032010B">
            <w:pPr>
              <w:spacing w:after="0" w:line="300" w:lineRule="atLeast"/>
              <w:ind w:left="720"/>
            </w:pPr>
          </w:p>
          <w:p w14:paraId="2760B187" w14:textId="77777777" w:rsidR="00D9666D" w:rsidRDefault="00AD3514" w:rsidP="0032010B">
            <w:pPr>
              <w:spacing w:after="0" w:line="300" w:lineRule="atLeast"/>
              <w:ind w:left="720"/>
            </w:pPr>
            <w:r w:rsidRPr="00AD3514">
              <w:t xml:space="preserve">Lone Working: Will the postholder be required to work alone? No </w:t>
            </w:r>
          </w:p>
          <w:p w14:paraId="44BA5E53" w14:textId="77777777" w:rsidR="00863B63" w:rsidRDefault="00863B63" w:rsidP="0032010B">
            <w:pPr>
              <w:spacing w:after="0" w:line="300" w:lineRule="atLeast"/>
              <w:ind w:left="720"/>
            </w:pPr>
          </w:p>
          <w:p w14:paraId="6E6BFF34" w14:textId="77777777" w:rsidR="003452B1" w:rsidRDefault="00AD3514" w:rsidP="0032010B">
            <w:pPr>
              <w:spacing w:after="0" w:line="300" w:lineRule="atLeast"/>
              <w:ind w:left="720"/>
            </w:pPr>
            <w:r w:rsidRPr="00AD3514">
              <w:t>Supplementary Payments (</w:t>
            </w:r>
            <w:proofErr w:type="spellStart"/>
            <w:r w:rsidRPr="00AD3514">
              <w:t>eg</w:t>
            </w:r>
            <w:proofErr w:type="spellEnd"/>
            <w:r w:rsidRPr="00AD3514">
              <w:t xml:space="preserve"> Recruitment &amp; Retention payment): Is there any approved salary supplement in place for this role? No </w:t>
            </w:r>
          </w:p>
          <w:p w14:paraId="125744AA" w14:textId="77777777" w:rsidR="00293666" w:rsidRDefault="00293666" w:rsidP="0032010B">
            <w:pPr>
              <w:spacing w:after="0" w:line="300" w:lineRule="atLeast"/>
              <w:ind w:left="720"/>
            </w:pPr>
          </w:p>
          <w:p w14:paraId="145BC191" w14:textId="77777777" w:rsidR="006D35A3" w:rsidRDefault="00AD3514" w:rsidP="0032010B">
            <w:pPr>
              <w:spacing w:after="0" w:line="300" w:lineRule="atLeast"/>
              <w:ind w:left="720"/>
            </w:pPr>
            <w:r w:rsidRPr="00AD3514">
              <w:t xml:space="preserve">DBS Check: Will the postholder require a DBS check? No </w:t>
            </w:r>
          </w:p>
          <w:p w14:paraId="4A8FF2ED" w14:textId="77777777" w:rsidR="006D35A3" w:rsidRDefault="006D35A3" w:rsidP="0032010B">
            <w:pPr>
              <w:spacing w:after="0" w:line="300" w:lineRule="atLeast"/>
              <w:ind w:left="720"/>
            </w:pPr>
          </w:p>
          <w:p w14:paraId="2C1909BF" w14:textId="77777777" w:rsidR="002728D9" w:rsidRDefault="00AD3514" w:rsidP="0032010B">
            <w:pPr>
              <w:spacing w:after="0" w:line="300" w:lineRule="atLeast"/>
              <w:ind w:left="720"/>
            </w:pPr>
            <w:r w:rsidRPr="00AD3514">
              <w:t>Career Grade/Career Pathway Is there an established career grade or career pathway in place for this post? No</w:t>
            </w:r>
          </w:p>
          <w:p w14:paraId="7EC17321" w14:textId="041F21B7" w:rsidR="00C94D76" w:rsidRPr="00276646" w:rsidRDefault="00C94D76" w:rsidP="0032010B">
            <w:pPr>
              <w:spacing w:after="0" w:line="300" w:lineRule="atLeast"/>
              <w:ind w:left="720"/>
            </w:pPr>
          </w:p>
        </w:tc>
      </w:tr>
    </w:tbl>
    <w:p w14:paraId="38519124" w14:textId="77777777" w:rsidR="00CC3EAD" w:rsidRPr="006069C3" w:rsidRDefault="00CC3EAD" w:rsidP="002728D9">
      <w:pPr>
        <w:rPr>
          <w:b/>
          <w:bCs/>
        </w:rPr>
      </w:pPr>
    </w:p>
    <w:p w14:paraId="68318B63" w14:textId="15CE01A7" w:rsidR="00712442" w:rsidRPr="006069C3" w:rsidRDefault="00712442" w:rsidP="002728D9">
      <w:pPr>
        <w:rPr>
          <w:b/>
          <w:bCs/>
        </w:rPr>
      </w:pPr>
      <w:r w:rsidRPr="006069C3">
        <w:rPr>
          <w:b/>
          <w:bCs/>
        </w:rPr>
        <w:lastRenderedPageBreak/>
        <w:t xml:space="preserve">For P&amp;R </w:t>
      </w:r>
      <w:r w:rsidR="00547C28">
        <w:rPr>
          <w:b/>
          <w:bCs/>
        </w:rPr>
        <w:t>u</w:t>
      </w:r>
      <w:r w:rsidRPr="006069C3">
        <w:rPr>
          <w:b/>
          <w:bCs/>
        </w:rPr>
        <w:t>se</w:t>
      </w:r>
      <w:r w:rsidR="00547C28">
        <w:rPr>
          <w:b/>
          <w:bCs/>
        </w:rPr>
        <w:t xml:space="preserve"> o</w:t>
      </w:r>
      <w:r w:rsidRPr="006069C3">
        <w:rPr>
          <w:b/>
          <w:bCs/>
        </w:rPr>
        <w:t>nly:</w:t>
      </w:r>
    </w:p>
    <w:p w14:paraId="651D70AA" w14:textId="5F48F06D" w:rsidR="00712442" w:rsidRDefault="00712442" w:rsidP="002728D9">
      <w:r>
        <w:t xml:space="preserve">Role Profile Addendum </w:t>
      </w:r>
      <w:r w:rsidR="00547C28">
        <w:t>r</w:t>
      </w:r>
      <w:r>
        <w:t xml:space="preserve">eference </w:t>
      </w:r>
      <w:r w:rsidR="00547C28">
        <w:t>n</w:t>
      </w:r>
      <w:r>
        <w:t>umber:   ………………………………</w:t>
      </w:r>
    </w:p>
    <w:p w14:paraId="7AAC67ED" w14:textId="2CF24BF3" w:rsidR="006069C3" w:rsidRPr="002728D9" w:rsidRDefault="006069C3" w:rsidP="002728D9">
      <w:r>
        <w:t>Date</w:t>
      </w:r>
      <w:r w:rsidR="00D363A2">
        <w:t xml:space="preserve"> </w:t>
      </w:r>
      <w:r w:rsidR="00547C28">
        <w:t>s</w:t>
      </w:r>
      <w:r w:rsidR="00D363A2">
        <w:t xml:space="preserve">aved:   </w:t>
      </w:r>
      <w:r w:rsidR="00547C28">
        <w:t>………………………………………………………………….</w:t>
      </w:r>
    </w:p>
    <w:sectPr w:rsidR="006069C3" w:rsidRPr="002728D9" w:rsidSect="00F35016">
      <w:footerReference w:type="even" r:id="rId10"/>
      <w:footerReference w:type="defaul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092C" w14:textId="77777777" w:rsidR="00AD6F13" w:rsidRDefault="00AD6F13" w:rsidP="006A3990">
      <w:pPr>
        <w:spacing w:after="0" w:line="240" w:lineRule="auto"/>
      </w:pPr>
      <w:r>
        <w:separator/>
      </w:r>
    </w:p>
  </w:endnote>
  <w:endnote w:type="continuationSeparator" w:id="0">
    <w:p w14:paraId="46577C9F" w14:textId="77777777" w:rsidR="00AD6F13" w:rsidRDefault="00AD6F13" w:rsidP="006A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171" w14:textId="6D68F258" w:rsidR="006A3990" w:rsidRDefault="006A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311A" w14:textId="4B99FC18" w:rsidR="006A3990" w:rsidRDefault="006A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FD8" w14:textId="10EC12CD" w:rsidR="006A3990" w:rsidRDefault="006A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DCD4" w14:textId="77777777" w:rsidR="00AD6F13" w:rsidRDefault="00AD6F13" w:rsidP="006A3990">
      <w:pPr>
        <w:spacing w:after="0" w:line="240" w:lineRule="auto"/>
      </w:pPr>
      <w:r>
        <w:separator/>
      </w:r>
    </w:p>
  </w:footnote>
  <w:footnote w:type="continuationSeparator" w:id="0">
    <w:p w14:paraId="4938A32A" w14:textId="77777777" w:rsidR="00AD6F13" w:rsidRDefault="00AD6F13" w:rsidP="006A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A04"/>
    <w:multiLevelType w:val="hybridMultilevel"/>
    <w:tmpl w:val="D722F5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686135"/>
    <w:multiLevelType w:val="multilevel"/>
    <w:tmpl w:val="D220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D41F6"/>
    <w:multiLevelType w:val="multilevel"/>
    <w:tmpl w:val="9D08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2069F"/>
    <w:multiLevelType w:val="multilevel"/>
    <w:tmpl w:val="54A6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00D49"/>
    <w:multiLevelType w:val="hybridMultilevel"/>
    <w:tmpl w:val="E73A2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25719"/>
    <w:multiLevelType w:val="multilevel"/>
    <w:tmpl w:val="6414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44B55"/>
    <w:multiLevelType w:val="multilevel"/>
    <w:tmpl w:val="8A12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A22E2"/>
    <w:multiLevelType w:val="multilevel"/>
    <w:tmpl w:val="BEBE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94937"/>
    <w:multiLevelType w:val="multilevel"/>
    <w:tmpl w:val="1EA8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4F6A6F"/>
    <w:multiLevelType w:val="multilevel"/>
    <w:tmpl w:val="EF1C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31F46"/>
    <w:multiLevelType w:val="hybridMultilevel"/>
    <w:tmpl w:val="5B0E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023B26"/>
    <w:multiLevelType w:val="multilevel"/>
    <w:tmpl w:val="C698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D32E98"/>
    <w:multiLevelType w:val="multilevel"/>
    <w:tmpl w:val="78A2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892D43"/>
    <w:multiLevelType w:val="multilevel"/>
    <w:tmpl w:val="385E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E3FEA"/>
    <w:multiLevelType w:val="hybridMultilevel"/>
    <w:tmpl w:val="46FCB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30186499">
    <w:abstractNumId w:val="1"/>
  </w:num>
  <w:num w:numId="2" w16cid:durableId="1233200378">
    <w:abstractNumId w:val="3"/>
  </w:num>
  <w:num w:numId="3" w16cid:durableId="1282763247">
    <w:abstractNumId w:val="7"/>
  </w:num>
  <w:num w:numId="4" w16cid:durableId="1546915268">
    <w:abstractNumId w:val="8"/>
  </w:num>
  <w:num w:numId="5" w16cid:durableId="1641694686">
    <w:abstractNumId w:val="2"/>
  </w:num>
  <w:num w:numId="6" w16cid:durableId="1674411052">
    <w:abstractNumId w:val="0"/>
  </w:num>
  <w:num w:numId="7" w16cid:durableId="1700275414">
    <w:abstractNumId w:val="5"/>
  </w:num>
  <w:num w:numId="8" w16cid:durableId="1877348801">
    <w:abstractNumId w:val="10"/>
  </w:num>
  <w:num w:numId="9" w16cid:durableId="1906991089">
    <w:abstractNumId w:val="14"/>
  </w:num>
  <w:num w:numId="10" w16cid:durableId="444884069">
    <w:abstractNumId w:val="9"/>
  </w:num>
  <w:num w:numId="11" w16cid:durableId="481393052">
    <w:abstractNumId w:val="6"/>
  </w:num>
  <w:num w:numId="12" w16cid:durableId="505554037">
    <w:abstractNumId w:val="12"/>
  </w:num>
  <w:num w:numId="13" w16cid:durableId="640303869">
    <w:abstractNumId w:val="11"/>
  </w:num>
  <w:num w:numId="14" w16cid:durableId="719131412">
    <w:abstractNumId w:val="13"/>
  </w:num>
  <w:num w:numId="15" w16cid:durableId="75998759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00EBB"/>
    <w:rsid w:val="000014A6"/>
    <w:rsid w:val="0000584F"/>
    <w:rsid w:val="00010BCB"/>
    <w:rsid w:val="000231C5"/>
    <w:rsid w:val="000249DC"/>
    <w:rsid w:val="00030474"/>
    <w:rsid w:val="00044228"/>
    <w:rsid w:val="0004713B"/>
    <w:rsid w:val="00053B0E"/>
    <w:rsid w:val="00062236"/>
    <w:rsid w:val="00064739"/>
    <w:rsid w:val="0007123F"/>
    <w:rsid w:val="00073DA8"/>
    <w:rsid w:val="00085522"/>
    <w:rsid w:val="000A123A"/>
    <w:rsid w:val="000A3285"/>
    <w:rsid w:val="000B310D"/>
    <w:rsid w:val="000D5E7E"/>
    <w:rsid w:val="000E26D9"/>
    <w:rsid w:val="000E5856"/>
    <w:rsid w:val="00104263"/>
    <w:rsid w:val="001124B1"/>
    <w:rsid w:val="00115A0A"/>
    <w:rsid w:val="00116913"/>
    <w:rsid w:val="001179A7"/>
    <w:rsid w:val="00124522"/>
    <w:rsid w:val="00126F4A"/>
    <w:rsid w:val="001273B0"/>
    <w:rsid w:val="00133C80"/>
    <w:rsid w:val="001414F8"/>
    <w:rsid w:val="001444C1"/>
    <w:rsid w:val="001468DA"/>
    <w:rsid w:val="00146EF2"/>
    <w:rsid w:val="00152FAF"/>
    <w:rsid w:val="00173E77"/>
    <w:rsid w:val="00176C10"/>
    <w:rsid w:val="001841EC"/>
    <w:rsid w:val="0019658C"/>
    <w:rsid w:val="001A2681"/>
    <w:rsid w:val="001A2ED7"/>
    <w:rsid w:val="001B4403"/>
    <w:rsid w:val="001B7315"/>
    <w:rsid w:val="001C0025"/>
    <w:rsid w:val="001C01DE"/>
    <w:rsid w:val="001D58CE"/>
    <w:rsid w:val="001E1146"/>
    <w:rsid w:val="001E1916"/>
    <w:rsid w:val="001E26F0"/>
    <w:rsid w:val="00200B0B"/>
    <w:rsid w:val="00211D3D"/>
    <w:rsid w:val="00212F29"/>
    <w:rsid w:val="00230D98"/>
    <w:rsid w:val="00235D18"/>
    <w:rsid w:val="00235F80"/>
    <w:rsid w:val="0024351D"/>
    <w:rsid w:val="00251732"/>
    <w:rsid w:val="002611D9"/>
    <w:rsid w:val="00270924"/>
    <w:rsid w:val="002728D9"/>
    <w:rsid w:val="00275E88"/>
    <w:rsid w:val="00276646"/>
    <w:rsid w:val="00282FB0"/>
    <w:rsid w:val="002907F0"/>
    <w:rsid w:val="002928D7"/>
    <w:rsid w:val="00293666"/>
    <w:rsid w:val="0029412C"/>
    <w:rsid w:val="002A1897"/>
    <w:rsid w:val="002A2BC6"/>
    <w:rsid w:val="002A4D60"/>
    <w:rsid w:val="002C246B"/>
    <w:rsid w:val="002D5205"/>
    <w:rsid w:val="002F4ECC"/>
    <w:rsid w:val="003067AC"/>
    <w:rsid w:val="0032010B"/>
    <w:rsid w:val="00344165"/>
    <w:rsid w:val="003452B1"/>
    <w:rsid w:val="00374133"/>
    <w:rsid w:val="00392B1F"/>
    <w:rsid w:val="003A33BA"/>
    <w:rsid w:val="003B00CB"/>
    <w:rsid w:val="003B2F15"/>
    <w:rsid w:val="003C75F0"/>
    <w:rsid w:val="003D6C0A"/>
    <w:rsid w:val="003E1C24"/>
    <w:rsid w:val="003E7592"/>
    <w:rsid w:val="004003B5"/>
    <w:rsid w:val="00402C87"/>
    <w:rsid w:val="00407EA1"/>
    <w:rsid w:val="00413359"/>
    <w:rsid w:val="00413FC9"/>
    <w:rsid w:val="00416270"/>
    <w:rsid w:val="00434859"/>
    <w:rsid w:val="00444B76"/>
    <w:rsid w:val="00445C02"/>
    <w:rsid w:val="00453E38"/>
    <w:rsid w:val="004616F4"/>
    <w:rsid w:val="00461FD9"/>
    <w:rsid w:val="00462E67"/>
    <w:rsid w:val="00480E60"/>
    <w:rsid w:val="00482CD5"/>
    <w:rsid w:val="0048304D"/>
    <w:rsid w:val="0049215E"/>
    <w:rsid w:val="00493062"/>
    <w:rsid w:val="00494206"/>
    <w:rsid w:val="004C35E6"/>
    <w:rsid w:val="004C3746"/>
    <w:rsid w:val="004C4E93"/>
    <w:rsid w:val="004D298B"/>
    <w:rsid w:val="004E5F59"/>
    <w:rsid w:val="004E6937"/>
    <w:rsid w:val="004F094D"/>
    <w:rsid w:val="004F28C5"/>
    <w:rsid w:val="004F66D6"/>
    <w:rsid w:val="005040B2"/>
    <w:rsid w:val="00517F73"/>
    <w:rsid w:val="00525DD3"/>
    <w:rsid w:val="005300C6"/>
    <w:rsid w:val="00532D53"/>
    <w:rsid w:val="00534C2B"/>
    <w:rsid w:val="00544563"/>
    <w:rsid w:val="00547C28"/>
    <w:rsid w:val="0058053E"/>
    <w:rsid w:val="005828A3"/>
    <w:rsid w:val="00584941"/>
    <w:rsid w:val="005C02C8"/>
    <w:rsid w:val="005C20D3"/>
    <w:rsid w:val="005C366C"/>
    <w:rsid w:val="005C4542"/>
    <w:rsid w:val="005C51FB"/>
    <w:rsid w:val="005C7EB8"/>
    <w:rsid w:val="005D5A37"/>
    <w:rsid w:val="005F2A58"/>
    <w:rsid w:val="005F2B4E"/>
    <w:rsid w:val="005F61F1"/>
    <w:rsid w:val="006025D6"/>
    <w:rsid w:val="006069C3"/>
    <w:rsid w:val="006160FC"/>
    <w:rsid w:val="006235E7"/>
    <w:rsid w:val="006245F7"/>
    <w:rsid w:val="00630392"/>
    <w:rsid w:val="0064115F"/>
    <w:rsid w:val="00643DF3"/>
    <w:rsid w:val="0064633B"/>
    <w:rsid w:val="00651018"/>
    <w:rsid w:val="0065267A"/>
    <w:rsid w:val="00657BE5"/>
    <w:rsid w:val="0066593B"/>
    <w:rsid w:val="00670A5B"/>
    <w:rsid w:val="00696133"/>
    <w:rsid w:val="00697EB4"/>
    <w:rsid w:val="006A2589"/>
    <w:rsid w:val="006A3990"/>
    <w:rsid w:val="006A4789"/>
    <w:rsid w:val="006C60F3"/>
    <w:rsid w:val="006D3565"/>
    <w:rsid w:val="006D35A3"/>
    <w:rsid w:val="006E57EB"/>
    <w:rsid w:val="006F0A27"/>
    <w:rsid w:val="00702C11"/>
    <w:rsid w:val="0071193D"/>
    <w:rsid w:val="00712442"/>
    <w:rsid w:val="007164D6"/>
    <w:rsid w:val="00722184"/>
    <w:rsid w:val="00734C94"/>
    <w:rsid w:val="00737A99"/>
    <w:rsid w:val="00743CBF"/>
    <w:rsid w:val="00754288"/>
    <w:rsid w:val="00762ADF"/>
    <w:rsid w:val="0076715D"/>
    <w:rsid w:val="00771647"/>
    <w:rsid w:val="00783246"/>
    <w:rsid w:val="00793255"/>
    <w:rsid w:val="007A7952"/>
    <w:rsid w:val="007C0B69"/>
    <w:rsid w:val="007D0B3E"/>
    <w:rsid w:val="00807846"/>
    <w:rsid w:val="008123E6"/>
    <w:rsid w:val="00817614"/>
    <w:rsid w:val="00822952"/>
    <w:rsid w:val="00842CDB"/>
    <w:rsid w:val="0084307C"/>
    <w:rsid w:val="00844089"/>
    <w:rsid w:val="0086357C"/>
    <w:rsid w:val="00863B63"/>
    <w:rsid w:val="00877E69"/>
    <w:rsid w:val="00880710"/>
    <w:rsid w:val="008808C0"/>
    <w:rsid w:val="00896D1A"/>
    <w:rsid w:val="00897B89"/>
    <w:rsid w:val="008B665E"/>
    <w:rsid w:val="008B6BCC"/>
    <w:rsid w:val="008C64DC"/>
    <w:rsid w:val="008E4682"/>
    <w:rsid w:val="008E4B27"/>
    <w:rsid w:val="008F6E57"/>
    <w:rsid w:val="00901BA0"/>
    <w:rsid w:val="0094173C"/>
    <w:rsid w:val="00960D4C"/>
    <w:rsid w:val="009637E1"/>
    <w:rsid w:val="00975345"/>
    <w:rsid w:val="00976694"/>
    <w:rsid w:val="00981DDD"/>
    <w:rsid w:val="009824EB"/>
    <w:rsid w:val="009908A2"/>
    <w:rsid w:val="009959C9"/>
    <w:rsid w:val="009A3707"/>
    <w:rsid w:val="009B15BB"/>
    <w:rsid w:val="009B2DA8"/>
    <w:rsid w:val="009B6541"/>
    <w:rsid w:val="009B7B13"/>
    <w:rsid w:val="009C63BE"/>
    <w:rsid w:val="009D0707"/>
    <w:rsid w:val="009D6244"/>
    <w:rsid w:val="00A00266"/>
    <w:rsid w:val="00A31A2F"/>
    <w:rsid w:val="00A348C9"/>
    <w:rsid w:val="00A44900"/>
    <w:rsid w:val="00A65B13"/>
    <w:rsid w:val="00A73B9F"/>
    <w:rsid w:val="00A766AE"/>
    <w:rsid w:val="00A955B3"/>
    <w:rsid w:val="00AB0A0C"/>
    <w:rsid w:val="00AB3944"/>
    <w:rsid w:val="00AC34DE"/>
    <w:rsid w:val="00AD3514"/>
    <w:rsid w:val="00AD6F13"/>
    <w:rsid w:val="00AF1B6E"/>
    <w:rsid w:val="00B04C96"/>
    <w:rsid w:val="00B05632"/>
    <w:rsid w:val="00B0601D"/>
    <w:rsid w:val="00B10B0D"/>
    <w:rsid w:val="00B261AC"/>
    <w:rsid w:val="00B30A86"/>
    <w:rsid w:val="00B326E2"/>
    <w:rsid w:val="00B359ED"/>
    <w:rsid w:val="00B41726"/>
    <w:rsid w:val="00B44630"/>
    <w:rsid w:val="00B463FA"/>
    <w:rsid w:val="00B47B96"/>
    <w:rsid w:val="00B51F2F"/>
    <w:rsid w:val="00B5379C"/>
    <w:rsid w:val="00B77569"/>
    <w:rsid w:val="00B801AA"/>
    <w:rsid w:val="00B87A04"/>
    <w:rsid w:val="00BA3458"/>
    <w:rsid w:val="00BA705E"/>
    <w:rsid w:val="00BA7E5B"/>
    <w:rsid w:val="00BB0440"/>
    <w:rsid w:val="00BB7D72"/>
    <w:rsid w:val="00BC18C0"/>
    <w:rsid w:val="00BC2AC8"/>
    <w:rsid w:val="00BD5F3C"/>
    <w:rsid w:val="00BD6E5D"/>
    <w:rsid w:val="00BF0FD4"/>
    <w:rsid w:val="00C03C45"/>
    <w:rsid w:val="00C05891"/>
    <w:rsid w:val="00C07EA7"/>
    <w:rsid w:val="00C10A09"/>
    <w:rsid w:val="00C14557"/>
    <w:rsid w:val="00C159AF"/>
    <w:rsid w:val="00C23206"/>
    <w:rsid w:val="00C306D9"/>
    <w:rsid w:val="00C3332B"/>
    <w:rsid w:val="00C54CDB"/>
    <w:rsid w:val="00C628CC"/>
    <w:rsid w:val="00C630F0"/>
    <w:rsid w:val="00C63A0B"/>
    <w:rsid w:val="00C90F29"/>
    <w:rsid w:val="00C91A5E"/>
    <w:rsid w:val="00C9335C"/>
    <w:rsid w:val="00C94D76"/>
    <w:rsid w:val="00C9763D"/>
    <w:rsid w:val="00CC3EAD"/>
    <w:rsid w:val="00CD4A3F"/>
    <w:rsid w:val="00CE5BF8"/>
    <w:rsid w:val="00CE7702"/>
    <w:rsid w:val="00CF1218"/>
    <w:rsid w:val="00CF6185"/>
    <w:rsid w:val="00D158B2"/>
    <w:rsid w:val="00D34342"/>
    <w:rsid w:val="00D363A2"/>
    <w:rsid w:val="00D53102"/>
    <w:rsid w:val="00D66816"/>
    <w:rsid w:val="00D77136"/>
    <w:rsid w:val="00D82415"/>
    <w:rsid w:val="00D93602"/>
    <w:rsid w:val="00D9666D"/>
    <w:rsid w:val="00DA28A3"/>
    <w:rsid w:val="00DC4685"/>
    <w:rsid w:val="00DD3AE7"/>
    <w:rsid w:val="00DE29FB"/>
    <w:rsid w:val="00DE6536"/>
    <w:rsid w:val="00DF1DF9"/>
    <w:rsid w:val="00DF2342"/>
    <w:rsid w:val="00DF26FF"/>
    <w:rsid w:val="00DF7F96"/>
    <w:rsid w:val="00E034B0"/>
    <w:rsid w:val="00E041FD"/>
    <w:rsid w:val="00E047E1"/>
    <w:rsid w:val="00E101CF"/>
    <w:rsid w:val="00E256E0"/>
    <w:rsid w:val="00E27E3F"/>
    <w:rsid w:val="00E506A3"/>
    <w:rsid w:val="00E51634"/>
    <w:rsid w:val="00E51B50"/>
    <w:rsid w:val="00E54D52"/>
    <w:rsid w:val="00E70C43"/>
    <w:rsid w:val="00E76397"/>
    <w:rsid w:val="00E82CB1"/>
    <w:rsid w:val="00E85C3D"/>
    <w:rsid w:val="00E85D2D"/>
    <w:rsid w:val="00E92C47"/>
    <w:rsid w:val="00EA3195"/>
    <w:rsid w:val="00EA6AA9"/>
    <w:rsid w:val="00EB104D"/>
    <w:rsid w:val="00EC40AF"/>
    <w:rsid w:val="00EC51B4"/>
    <w:rsid w:val="00EC6B32"/>
    <w:rsid w:val="00EC723E"/>
    <w:rsid w:val="00EC79A7"/>
    <w:rsid w:val="00EE5F25"/>
    <w:rsid w:val="00EF0470"/>
    <w:rsid w:val="00F1320C"/>
    <w:rsid w:val="00F32130"/>
    <w:rsid w:val="00F35016"/>
    <w:rsid w:val="00F35E39"/>
    <w:rsid w:val="00F3680D"/>
    <w:rsid w:val="00F36AB1"/>
    <w:rsid w:val="00F4203D"/>
    <w:rsid w:val="00F71B42"/>
    <w:rsid w:val="00FA0C2C"/>
    <w:rsid w:val="00FC18DA"/>
    <w:rsid w:val="00FC788C"/>
    <w:rsid w:val="00FD17CD"/>
    <w:rsid w:val="00FE5B9C"/>
    <w:rsid w:val="00FE5C05"/>
    <w:rsid w:val="00FF6FDC"/>
    <w:rsid w:val="0277ACC9"/>
    <w:rsid w:val="035D4B22"/>
    <w:rsid w:val="04F590EE"/>
    <w:rsid w:val="072F8B6E"/>
    <w:rsid w:val="07ABB846"/>
    <w:rsid w:val="08487CD2"/>
    <w:rsid w:val="0C5E80F5"/>
    <w:rsid w:val="0E3B1B8F"/>
    <w:rsid w:val="12F29304"/>
    <w:rsid w:val="174D9B4C"/>
    <w:rsid w:val="18E6B8DC"/>
    <w:rsid w:val="1C9F3E11"/>
    <w:rsid w:val="1E0B9302"/>
    <w:rsid w:val="27368B52"/>
    <w:rsid w:val="291E3591"/>
    <w:rsid w:val="2A107E11"/>
    <w:rsid w:val="2BB587B7"/>
    <w:rsid w:val="305E93BC"/>
    <w:rsid w:val="3225B36D"/>
    <w:rsid w:val="3801A650"/>
    <w:rsid w:val="3826FA85"/>
    <w:rsid w:val="382A3B3A"/>
    <w:rsid w:val="3C91AA79"/>
    <w:rsid w:val="3FB63128"/>
    <w:rsid w:val="41325EDF"/>
    <w:rsid w:val="42342FC6"/>
    <w:rsid w:val="42EF012E"/>
    <w:rsid w:val="439C1D80"/>
    <w:rsid w:val="47D8EE6F"/>
    <w:rsid w:val="491B710D"/>
    <w:rsid w:val="4D17168B"/>
    <w:rsid w:val="4E03920D"/>
    <w:rsid w:val="51EA5821"/>
    <w:rsid w:val="5486E0CA"/>
    <w:rsid w:val="5CCACB04"/>
    <w:rsid w:val="5F5F05E0"/>
    <w:rsid w:val="5FF90349"/>
    <w:rsid w:val="65A69F80"/>
    <w:rsid w:val="6766EEF9"/>
    <w:rsid w:val="6774CDEC"/>
    <w:rsid w:val="69F3FD12"/>
    <w:rsid w:val="71F1DBAE"/>
    <w:rsid w:val="78897294"/>
    <w:rsid w:val="7E7FB03B"/>
    <w:rsid w:val="7EB24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74E993E9-623E-42C9-B223-492DCB95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28"/>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Footer">
    <w:name w:val="footer"/>
    <w:basedOn w:val="Normal"/>
    <w:link w:val="FooterChar"/>
    <w:uiPriority w:val="99"/>
    <w:unhideWhenUsed/>
    <w:rsid w:val="006A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990"/>
  </w:style>
  <w:style w:type="paragraph" w:styleId="Header">
    <w:name w:val="header"/>
    <w:basedOn w:val="Normal"/>
    <w:link w:val="HeaderChar"/>
    <w:uiPriority w:val="99"/>
    <w:semiHidden/>
    <w:unhideWhenUsed/>
    <w:rsid w:val="008440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4089"/>
  </w:style>
  <w:style w:type="paragraph" w:customStyle="1" w:styleId="paragraph">
    <w:name w:val="paragraph"/>
    <w:basedOn w:val="Normal"/>
    <w:rsid w:val="00F3501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35016"/>
  </w:style>
  <w:style w:type="character" w:customStyle="1" w:styleId="eop">
    <w:name w:val="eop"/>
    <w:basedOn w:val="DefaultParagraphFont"/>
    <w:rsid w:val="00F35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7871c0-ee3a-4167-9f64-aed05450f001">
      <Terms xmlns="http://schemas.microsoft.com/office/infopath/2007/PartnerControls"/>
    </lcf76f155ced4ddcb4097134ff3c332f>
    <TaxCatchAll xmlns="1f6daf0d-3472-4400-9bd3-37ec902c3b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83B828DB95CA40B3B7712D040F2F1A" ma:contentTypeVersion="10" ma:contentTypeDescription="Create a new document." ma:contentTypeScope="" ma:versionID="dfcd99d81f16ec78cee55e1e77985ac9">
  <xsd:schema xmlns:xsd="http://www.w3.org/2001/XMLSchema" xmlns:xs="http://www.w3.org/2001/XMLSchema" xmlns:p="http://schemas.microsoft.com/office/2006/metadata/properties" xmlns:ns2="9c7871c0-ee3a-4167-9f64-aed05450f001" xmlns:ns3="1f6daf0d-3472-4400-9bd3-37ec902c3b44" targetNamespace="http://schemas.microsoft.com/office/2006/metadata/properties" ma:root="true" ma:fieldsID="1b0d0665cd24df6e147195d5c1c62529" ns2:_="" ns3:_="">
    <xsd:import namespace="9c7871c0-ee3a-4167-9f64-aed05450f001"/>
    <xsd:import namespace="1f6daf0d-3472-4400-9bd3-37ec902c3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871c0-ee3a-4167-9f64-aed05450f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daf0d-3472-4400-9bd3-37ec902c3b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edd856-1346-4fc7-b4f4-b1bf59575008}" ma:internalName="TaxCatchAll" ma:showField="CatchAllData" ma:web="1f6daf0d-3472-4400-9bd3-37ec902c3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802EE-2CCB-40B7-A990-46D1AD81C1BE}">
  <ds:schemaRefs>
    <ds:schemaRef ds:uri="http://schemas.microsoft.com/office/2006/metadata/properties"/>
    <ds:schemaRef ds:uri="http://schemas.microsoft.com/office/infopath/2007/PartnerControls"/>
    <ds:schemaRef ds:uri="9c7871c0-ee3a-4167-9f64-aed05450f001"/>
    <ds:schemaRef ds:uri="1f6daf0d-3472-4400-9bd3-37ec902c3b44"/>
  </ds:schemaRefs>
</ds:datastoreItem>
</file>

<file path=customXml/itemProps2.xml><?xml version="1.0" encoding="utf-8"?>
<ds:datastoreItem xmlns:ds="http://schemas.openxmlformats.org/officeDocument/2006/customXml" ds:itemID="{6EFCBA44-02C2-4109-B1DB-2D80FE1CA27C}">
  <ds:schemaRefs>
    <ds:schemaRef ds:uri="http://schemas.microsoft.com/sharepoint/v3/contenttype/forms"/>
  </ds:schemaRefs>
</ds:datastoreItem>
</file>

<file path=customXml/itemProps3.xml><?xml version="1.0" encoding="utf-8"?>
<ds:datastoreItem xmlns:ds="http://schemas.openxmlformats.org/officeDocument/2006/customXml" ds:itemID="{834420CC-4ECB-4520-9399-D42111B76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871c0-ee3a-4167-9f64-aed05450f001"/>
    <ds:schemaRef ds:uri="1f6daf0d-3472-4400-9bd3-37ec902c3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Jamie Iles</cp:lastModifiedBy>
  <cp:revision>2</cp:revision>
  <dcterms:created xsi:type="dcterms:W3CDTF">2026-05-22T09:42:00Z</dcterms:created>
  <dcterms:modified xsi:type="dcterms:W3CDTF">2026-05-22T09:42:00Z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0x0101004E83B828DB95CA40B3B7712D040F2F1A</vt:lpwstr>
  </property>
  <property fmtid="{D5CDD505-2E9C-101B-9397-08002B2CF9AE}" pid="3" name="docLang">
    <vt:lpwstr>en</vt:lpwstr>
  </property>
  <property fmtid="{D5CDD505-2E9C-101B-9397-08002B2CF9AE}" pid="4" name="MediaServiceImageTags">
    <vt:lpwstr/>
  </property>
</Properties>
</file>