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D80A" w14:textId="77777777" w:rsidR="00826A57" w:rsidRDefault="00826A57">
      <w:pPr>
        <w:rPr>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42"/>
        <w:gridCol w:w="4484"/>
      </w:tblGrid>
      <w:tr w:rsidR="00826A57" w:rsidRPr="00826A57" w14:paraId="34BA2990" w14:textId="77777777" w:rsidTr="00826A57">
        <w:trPr>
          <w:tblCellSpacing w:w="15" w:type="dxa"/>
        </w:trPr>
        <w:tc>
          <w:tcPr>
            <w:tcW w:w="2491" w:type="pct"/>
            <w:vAlign w:val="center"/>
            <w:hideMark/>
          </w:tcPr>
          <w:p w14:paraId="739FAA7F" w14:textId="77777777" w:rsidR="00826A57" w:rsidRPr="00826A57" w:rsidRDefault="00826A57" w:rsidP="00826A57">
            <w:pPr>
              <w:rPr>
                <w:b/>
                <w:bCs/>
                <w:sz w:val="22"/>
                <w:szCs w:val="22"/>
              </w:rPr>
            </w:pPr>
            <w:r w:rsidRPr="00826A57">
              <w:rPr>
                <w:b/>
                <w:bCs/>
                <w:sz w:val="22"/>
                <w:szCs w:val="22"/>
              </w:rPr>
              <w:t>Reference Number</w:t>
            </w:r>
          </w:p>
        </w:tc>
        <w:tc>
          <w:tcPr>
            <w:tcW w:w="2459" w:type="pct"/>
            <w:vAlign w:val="center"/>
            <w:hideMark/>
          </w:tcPr>
          <w:p w14:paraId="4F5CC338" w14:textId="77777777" w:rsidR="00826A57" w:rsidRPr="00826A57" w:rsidRDefault="00826A57" w:rsidP="00826A57">
            <w:pPr>
              <w:rPr>
                <w:sz w:val="22"/>
                <w:szCs w:val="22"/>
              </w:rPr>
            </w:pPr>
            <w:r w:rsidRPr="00826A57">
              <w:rPr>
                <w:sz w:val="22"/>
                <w:szCs w:val="22"/>
              </w:rPr>
              <w:t>MUL157</w:t>
            </w:r>
          </w:p>
        </w:tc>
      </w:tr>
      <w:tr w:rsidR="00826A57" w:rsidRPr="00826A57" w14:paraId="692E94AB" w14:textId="77777777" w:rsidTr="00826A57">
        <w:trPr>
          <w:tblCellSpacing w:w="15" w:type="dxa"/>
        </w:trPr>
        <w:tc>
          <w:tcPr>
            <w:tcW w:w="2491" w:type="pct"/>
            <w:vAlign w:val="center"/>
            <w:hideMark/>
          </w:tcPr>
          <w:p w14:paraId="64D95A91" w14:textId="77777777" w:rsidR="00826A57" w:rsidRPr="00826A57" w:rsidRDefault="00826A57" w:rsidP="00826A57">
            <w:pPr>
              <w:rPr>
                <w:b/>
                <w:bCs/>
                <w:sz w:val="22"/>
                <w:szCs w:val="22"/>
              </w:rPr>
            </w:pPr>
            <w:r w:rsidRPr="00826A57">
              <w:rPr>
                <w:b/>
                <w:bCs/>
                <w:sz w:val="22"/>
                <w:szCs w:val="22"/>
              </w:rPr>
              <w:t>Role Title</w:t>
            </w:r>
          </w:p>
        </w:tc>
        <w:tc>
          <w:tcPr>
            <w:tcW w:w="2459" w:type="pct"/>
            <w:vAlign w:val="center"/>
            <w:hideMark/>
          </w:tcPr>
          <w:p w14:paraId="0174640A" w14:textId="77777777" w:rsidR="00826A57" w:rsidRPr="00826A57" w:rsidRDefault="00826A57" w:rsidP="00826A57">
            <w:pPr>
              <w:rPr>
                <w:sz w:val="22"/>
                <w:szCs w:val="22"/>
              </w:rPr>
            </w:pPr>
            <w:r w:rsidRPr="00826A57">
              <w:rPr>
                <w:sz w:val="22"/>
                <w:szCs w:val="22"/>
              </w:rPr>
              <w:t>Service Manager VI</w:t>
            </w:r>
          </w:p>
        </w:tc>
      </w:tr>
      <w:tr w:rsidR="00826A57" w:rsidRPr="00826A57" w14:paraId="40644010" w14:textId="77777777" w:rsidTr="00826A57">
        <w:trPr>
          <w:tblCellSpacing w:w="15" w:type="dxa"/>
        </w:trPr>
        <w:tc>
          <w:tcPr>
            <w:tcW w:w="2491" w:type="pct"/>
            <w:vAlign w:val="center"/>
            <w:hideMark/>
          </w:tcPr>
          <w:p w14:paraId="3B0A5770" w14:textId="77777777" w:rsidR="00826A57" w:rsidRPr="00826A57" w:rsidRDefault="00826A57" w:rsidP="00826A57">
            <w:pPr>
              <w:rPr>
                <w:b/>
                <w:bCs/>
                <w:sz w:val="22"/>
                <w:szCs w:val="22"/>
              </w:rPr>
            </w:pPr>
            <w:r w:rsidRPr="00826A57">
              <w:rPr>
                <w:b/>
                <w:bCs/>
                <w:sz w:val="22"/>
                <w:szCs w:val="22"/>
              </w:rPr>
              <w:t>Directorate</w:t>
            </w:r>
          </w:p>
        </w:tc>
        <w:tc>
          <w:tcPr>
            <w:tcW w:w="2459" w:type="pct"/>
            <w:vAlign w:val="center"/>
            <w:hideMark/>
          </w:tcPr>
          <w:p w14:paraId="16C93789" w14:textId="77777777" w:rsidR="00826A57" w:rsidRPr="00826A57" w:rsidRDefault="00826A57" w:rsidP="00826A57">
            <w:pPr>
              <w:rPr>
                <w:sz w:val="22"/>
                <w:szCs w:val="22"/>
              </w:rPr>
            </w:pPr>
            <w:r w:rsidRPr="00826A57">
              <w:rPr>
                <w:sz w:val="22"/>
                <w:szCs w:val="22"/>
              </w:rPr>
              <w:t>Multiple</w:t>
            </w:r>
          </w:p>
        </w:tc>
      </w:tr>
      <w:tr w:rsidR="00826A57" w:rsidRPr="00826A57" w14:paraId="3C7D8D65" w14:textId="77777777" w:rsidTr="00826A57">
        <w:trPr>
          <w:tblCellSpacing w:w="15" w:type="dxa"/>
        </w:trPr>
        <w:tc>
          <w:tcPr>
            <w:tcW w:w="2491" w:type="pct"/>
            <w:vAlign w:val="center"/>
            <w:hideMark/>
          </w:tcPr>
          <w:p w14:paraId="60FA6F9D" w14:textId="77777777" w:rsidR="00826A57" w:rsidRPr="00826A57" w:rsidRDefault="00826A57" w:rsidP="00826A57">
            <w:pPr>
              <w:rPr>
                <w:b/>
                <w:bCs/>
                <w:sz w:val="22"/>
                <w:szCs w:val="22"/>
              </w:rPr>
            </w:pPr>
            <w:r w:rsidRPr="00826A57">
              <w:rPr>
                <w:b/>
                <w:bCs/>
                <w:sz w:val="22"/>
                <w:szCs w:val="22"/>
              </w:rPr>
              <w:t>Department</w:t>
            </w:r>
          </w:p>
        </w:tc>
        <w:tc>
          <w:tcPr>
            <w:tcW w:w="2459" w:type="pct"/>
            <w:vAlign w:val="center"/>
            <w:hideMark/>
          </w:tcPr>
          <w:p w14:paraId="0298D705" w14:textId="77777777" w:rsidR="00826A57" w:rsidRPr="00826A57" w:rsidRDefault="00826A57" w:rsidP="00826A57">
            <w:pPr>
              <w:rPr>
                <w:sz w:val="22"/>
                <w:szCs w:val="22"/>
              </w:rPr>
            </w:pPr>
            <w:r w:rsidRPr="00826A57">
              <w:rPr>
                <w:sz w:val="22"/>
                <w:szCs w:val="22"/>
              </w:rPr>
              <w:t>Multiple</w:t>
            </w:r>
          </w:p>
        </w:tc>
      </w:tr>
      <w:tr w:rsidR="00826A57" w:rsidRPr="00826A57" w14:paraId="437B50EE" w14:textId="77777777" w:rsidTr="00826A57">
        <w:trPr>
          <w:tblCellSpacing w:w="15" w:type="dxa"/>
        </w:trPr>
        <w:tc>
          <w:tcPr>
            <w:tcW w:w="2491" w:type="pct"/>
            <w:vAlign w:val="center"/>
            <w:hideMark/>
          </w:tcPr>
          <w:p w14:paraId="37A62679" w14:textId="77777777" w:rsidR="00826A57" w:rsidRPr="00826A57" w:rsidRDefault="00826A57" w:rsidP="00826A57">
            <w:pPr>
              <w:rPr>
                <w:b/>
                <w:bCs/>
                <w:sz w:val="22"/>
                <w:szCs w:val="22"/>
              </w:rPr>
            </w:pPr>
            <w:r w:rsidRPr="00826A57">
              <w:rPr>
                <w:b/>
                <w:bCs/>
                <w:sz w:val="22"/>
                <w:szCs w:val="22"/>
              </w:rPr>
              <w:t>Reports to</w:t>
            </w:r>
          </w:p>
        </w:tc>
        <w:tc>
          <w:tcPr>
            <w:tcW w:w="2459" w:type="pct"/>
            <w:vAlign w:val="center"/>
            <w:hideMark/>
          </w:tcPr>
          <w:p w14:paraId="7C1EC512" w14:textId="77777777" w:rsidR="00826A57" w:rsidRPr="00826A57" w:rsidRDefault="00826A57" w:rsidP="00826A57">
            <w:pPr>
              <w:rPr>
                <w:sz w:val="22"/>
                <w:szCs w:val="22"/>
              </w:rPr>
            </w:pPr>
            <w:r w:rsidRPr="00826A57">
              <w:rPr>
                <w:sz w:val="22"/>
                <w:szCs w:val="22"/>
              </w:rPr>
              <w:t>Head of Service</w:t>
            </w:r>
          </w:p>
        </w:tc>
      </w:tr>
    </w:tbl>
    <w:p w14:paraId="5D11AF59" w14:textId="77777777" w:rsidR="00826A57" w:rsidRPr="00826A57" w:rsidRDefault="00826A57" w:rsidP="00826A57">
      <w:pPr>
        <w:rPr>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26A57" w:rsidRPr="00826A57" w14:paraId="0CD7121A" w14:textId="77777777" w:rsidTr="00826A57">
        <w:trPr>
          <w:tblCellSpacing w:w="15" w:type="dxa"/>
        </w:trPr>
        <w:tc>
          <w:tcPr>
            <w:tcW w:w="4986" w:type="pct"/>
            <w:vAlign w:val="center"/>
            <w:hideMark/>
          </w:tcPr>
          <w:p w14:paraId="0A80DE26" w14:textId="77777777" w:rsidR="00826A57" w:rsidRPr="00826A57" w:rsidRDefault="00826A57" w:rsidP="00826A57">
            <w:pPr>
              <w:rPr>
                <w:b/>
                <w:bCs/>
                <w:sz w:val="22"/>
                <w:szCs w:val="22"/>
              </w:rPr>
            </w:pPr>
            <w:r w:rsidRPr="00826A57">
              <w:rPr>
                <w:b/>
                <w:bCs/>
                <w:sz w:val="22"/>
                <w:szCs w:val="22"/>
              </w:rPr>
              <w:t>Role Purpose</w:t>
            </w:r>
          </w:p>
        </w:tc>
      </w:tr>
      <w:tr w:rsidR="00826A57" w:rsidRPr="00826A57" w14:paraId="33C03475" w14:textId="77777777" w:rsidTr="00826A57">
        <w:trPr>
          <w:tblCellSpacing w:w="15" w:type="dxa"/>
        </w:trPr>
        <w:tc>
          <w:tcPr>
            <w:tcW w:w="4986" w:type="pct"/>
            <w:vAlign w:val="center"/>
            <w:hideMark/>
          </w:tcPr>
          <w:p w14:paraId="31DE2F10" w14:textId="77777777" w:rsidR="00826A57" w:rsidRPr="00826A57" w:rsidRDefault="00826A57" w:rsidP="00826A57">
            <w:pPr>
              <w:rPr>
                <w:sz w:val="22"/>
                <w:szCs w:val="22"/>
              </w:rPr>
            </w:pPr>
            <w:r w:rsidRPr="00826A57">
              <w:rPr>
                <w:sz w:val="22"/>
                <w:szCs w:val="22"/>
              </w:rPr>
              <w:t>Manage and control a visible operational area, to ensure the delivery of effective, value for money and responsive services. Role holders at this level manage a team that delivers a specific set of activities.</w:t>
            </w:r>
          </w:p>
        </w:tc>
      </w:tr>
    </w:tbl>
    <w:p w14:paraId="6FA93675" w14:textId="77777777" w:rsidR="00826A57" w:rsidRPr="00826A57" w:rsidRDefault="00826A57" w:rsidP="00826A57">
      <w:pPr>
        <w:rPr>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26A57" w:rsidRPr="00826A57" w14:paraId="5C040F4C" w14:textId="77777777" w:rsidTr="00826A57">
        <w:trPr>
          <w:tblCellSpacing w:w="15" w:type="dxa"/>
        </w:trPr>
        <w:tc>
          <w:tcPr>
            <w:tcW w:w="4986" w:type="pct"/>
            <w:vAlign w:val="center"/>
            <w:hideMark/>
          </w:tcPr>
          <w:p w14:paraId="499B0B0F" w14:textId="77777777" w:rsidR="00826A57" w:rsidRPr="00826A57" w:rsidRDefault="00826A57" w:rsidP="00826A57">
            <w:pPr>
              <w:rPr>
                <w:b/>
                <w:bCs/>
                <w:sz w:val="22"/>
                <w:szCs w:val="22"/>
              </w:rPr>
            </w:pPr>
            <w:r w:rsidRPr="00826A57">
              <w:rPr>
                <w:b/>
                <w:bCs/>
                <w:sz w:val="22"/>
                <w:szCs w:val="22"/>
              </w:rPr>
              <w:t>Accountabilities</w:t>
            </w:r>
          </w:p>
        </w:tc>
      </w:tr>
      <w:tr w:rsidR="00826A57" w:rsidRPr="00826A57" w14:paraId="728A16A7" w14:textId="77777777" w:rsidTr="00826A57">
        <w:trPr>
          <w:tblCellSpacing w:w="15" w:type="dxa"/>
        </w:trPr>
        <w:tc>
          <w:tcPr>
            <w:tcW w:w="4986" w:type="pct"/>
            <w:vAlign w:val="center"/>
            <w:hideMark/>
          </w:tcPr>
          <w:p w14:paraId="22CBB013" w14:textId="77777777" w:rsidR="00826A57" w:rsidRPr="00826A57" w:rsidRDefault="00826A57" w:rsidP="00826A57">
            <w:pPr>
              <w:numPr>
                <w:ilvl w:val="0"/>
                <w:numId w:val="4"/>
              </w:numPr>
              <w:rPr>
                <w:sz w:val="22"/>
                <w:szCs w:val="22"/>
              </w:rPr>
            </w:pPr>
            <w:r w:rsidRPr="00826A57">
              <w:rPr>
                <w:sz w:val="22"/>
                <w:szCs w:val="22"/>
              </w:rPr>
              <w:t>Translate broadly defined deliverables into a clear annual service or operations plan for the team, co-ordinating and integrating some diverse areas of work to provide clear direction for the team and ensure delivery of wider objectives.</w:t>
            </w:r>
          </w:p>
          <w:p w14:paraId="7B2E9E18" w14:textId="77777777" w:rsidR="00826A57" w:rsidRPr="00826A57" w:rsidRDefault="00826A57" w:rsidP="00826A57">
            <w:pPr>
              <w:numPr>
                <w:ilvl w:val="0"/>
                <w:numId w:val="4"/>
              </w:numPr>
              <w:rPr>
                <w:sz w:val="22"/>
                <w:szCs w:val="22"/>
              </w:rPr>
            </w:pPr>
            <w:r w:rsidRPr="00826A57">
              <w:rPr>
                <w:sz w:val="22"/>
                <w:szCs w:val="22"/>
              </w:rPr>
              <w:t>Develop, manage, and motivate a team that aspires to high standards of work and behaviour, by providing ongoing coaching and training.</w:t>
            </w:r>
          </w:p>
          <w:p w14:paraId="4673ECB7" w14:textId="77777777" w:rsidR="00826A57" w:rsidRPr="00826A57" w:rsidRDefault="00826A57" w:rsidP="00826A57">
            <w:pPr>
              <w:numPr>
                <w:ilvl w:val="0"/>
                <w:numId w:val="4"/>
              </w:numPr>
              <w:rPr>
                <w:sz w:val="22"/>
                <w:szCs w:val="22"/>
              </w:rPr>
            </w:pPr>
            <w:r w:rsidRPr="00826A57">
              <w:rPr>
                <w:sz w:val="22"/>
                <w:szCs w:val="22"/>
              </w:rPr>
              <w:t>Manage a team providing specialist technical and operational services to the organisation and the community directly, ensuring that specific activities are pulled together to deliver a cohesive service.</w:t>
            </w:r>
          </w:p>
          <w:p w14:paraId="684CF4D5" w14:textId="77777777" w:rsidR="00826A57" w:rsidRPr="00826A57" w:rsidRDefault="00826A57" w:rsidP="00826A57">
            <w:pPr>
              <w:numPr>
                <w:ilvl w:val="0"/>
                <w:numId w:val="4"/>
              </w:numPr>
              <w:rPr>
                <w:sz w:val="22"/>
                <w:szCs w:val="22"/>
              </w:rPr>
            </w:pPr>
            <w:r w:rsidRPr="00826A57">
              <w:rPr>
                <w:sz w:val="22"/>
                <w:szCs w:val="22"/>
              </w:rPr>
              <w:t>Build relationships with internal and external stakeholders, partners, and customers/residents to collaboratively plan and deliver services or projects and enable sharing of information and best practice.</w:t>
            </w:r>
          </w:p>
          <w:p w14:paraId="6B596CBD" w14:textId="77777777" w:rsidR="00826A57" w:rsidRPr="00826A57" w:rsidRDefault="00826A57" w:rsidP="00826A57">
            <w:pPr>
              <w:numPr>
                <w:ilvl w:val="0"/>
                <w:numId w:val="4"/>
              </w:numPr>
              <w:rPr>
                <w:sz w:val="22"/>
                <w:szCs w:val="22"/>
              </w:rPr>
            </w:pPr>
            <w:r w:rsidRPr="00826A57">
              <w:rPr>
                <w:sz w:val="22"/>
                <w:szCs w:val="22"/>
              </w:rPr>
              <w:t xml:space="preserve">Use financial systems </w:t>
            </w:r>
            <w:proofErr w:type="gramStart"/>
            <w:r w:rsidRPr="00826A57">
              <w:rPr>
                <w:sz w:val="22"/>
                <w:szCs w:val="22"/>
              </w:rPr>
              <w:t>in order to</w:t>
            </w:r>
            <w:proofErr w:type="gramEnd"/>
            <w:r w:rsidRPr="00826A57">
              <w:rPr>
                <w:sz w:val="22"/>
                <w:szCs w:val="22"/>
              </w:rPr>
              <w:t xml:space="preserve"> manage, control, and report on allocated budgets, to support the financial health and efficiency of the service.</w:t>
            </w:r>
          </w:p>
          <w:p w14:paraId="60AD74F0" w14:textId="77777777" w:rsidR="00826A57" w:rsidRPr="00826A57" w:rsidRDefault="00826A57" w:rsidP="00826A57">
            <w:pPr>
              <w:numPr>
                <w:ilvl w:val="0"/>
                <w:numId w:val="4"/>
              </w:numPr>
              <w:rPr>
                <w:sz w:val="22"/>
                <w:szCs w:val="22"/>
              </w:rPr>
            </w:pPr>
            <w:r w:rsidRPr="00826A57">
              <w:rPr>
                <w:sz w:val="22"/>
                <w:szCs w:val="22"/>
              </w:rPr>
              <w:t>Provide advice and guidance on operational issues or projects within a focused area, so that issues can be resolved and risk managed.</w:t>
            </w:r>
          </w:p>
          <w:p w14:paraId="796BF2C7" w14:textId="77777777" w:rsidR="00826A57" w:rsidRPr="00826A57" w:rsidRDefault="00826A57" w:rsidP="00826A57">
            <w:pPr>
              <w:numPr>
                <w:ilvl w:val="0"/>
                <w:numId w:val="4"/>
              </w:numPr>
              <w:rPr>
                <w:sz w:val="22"/>
                <w:szCs w:val="22"/>
              </w:rPr>
            </w:pPr>
            <w:r w:rsidRPr="00826A57">
              <w:rPr>
                <w:sz w:val="22"/>
                <w:szCs w:val="22"/>
              </w:rPr>
              <w:t>Identify and make recommendations for improvements to ways of working that will enhance the effectiveness and efficiency of the service.</w:t>
            </w:r>
          </w:p>
          <w:p w14:paraId="3D4DA318" w14:textId="77777777" w:rsidR="00826A57" w:rsidRPr="00826A57" w:rsidRDefault="00826A57" w:rsidP="00826A57">
            <w:pPr>
              <w:numPr>
                <w:ilvl w:val="0"/>
                <w:numId w:val="4"/>
              </w:numPr>
              <w:rPr>
                <w:sz w:val="22"/>
                <w:szCs w:val="22"/>
              </w:rPr>
            </w:pPr>
            <w:r w:rsidRPr="00826A57">
              <w:rPr>
                <w:sz w:val="22"/>
                <w:szCs w:val="22"/>
              </w:rPr>
              <w:t xml:space="preserve">Input to and support the development of commercial opportunities, including submissions for funding bids, </w:t>
            </w:r>
            <w:proofErr w:type="gramStart"/>
            <w:r w:rsidRPr="00826A57">
              <w:rPr>
                <w:sz w:val="22"/>
                <w:szCs w:val="22"/>
              </w:rPr>
              <w:t>in order to</w:t>
            </w:r>
            <w:proofErr w:type="gramEnd"/>
            <w:r w:rsidRPr="00826A57">
              <w:rPr>
                <w:sz w:val="22"/>
                <w:szCs w:val="22"/>
              </w:rPr>
              <w:t xml:space="preserve"> maximise income.</w:t>
            </w:r>
          </w:p>
          <w:p w14:paraId="6676B1A6" w14:textId="77777777" w:rsidR="00826A57" w:rsidRPr="00826A57" w:rsidRDefault="00826A57" w:rsidP="00826A57">
            <w:pPr>
              <w:numPr>
                <w:ilvl w:val="0"/>
                <w:numId w:val="4"/>
              </w:numPr>
              <w:rPr>
                <w:sz w:val="22"/>
                <w:szCs w:val="22"/>
              </w:rPr>
            </w:pPr>
            <w:r w:rsidRPr="00826A57">
              <w:rPr>
                <w:sz w:val="22"/>
                <w:szCs w:val="22"/>
              </w:rPr>
              <w:t>Represent the service and the council with partners and other stakeholders to resolve service issues, contribute to the exchange of information and the promotion of best practice and development of associated operational policies.</w:t>
            </w:r>
          </w:p>
        </w:tc>
      </w:tr>
    </w:tbl>
    <w:p w14:paraId="3693ED58" w14:textId="77777777" w:rsidR="00826A57" w:rsidRPr="00826A57" w:rsidRDefault="00826A57" w:rsidP="00826A57">
      <w:pPr>
        <w:rPr>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26A57" w:rsidRPr="00826A57" w14:paraId="32AB012B" w14:textId="77777777" w:rsidTr="00826A57">
        <w:trPr>
          <w:tblCellSpacing w:w="15" w:type="dxa"/>
        </w:trPr>
        <w:tc>
          <w:tcPr>
            <w:tcW w:w="4986" w:type="pct"/>
            <w:vAlign w:val="center"/>
            <w:hideMark/>
          </w:tcPr>
          <w:p w14:paraId="6405195D" w14:textId="77777777" w:rsidR="00826A57" w:rsidRPr="00826A57" w:rsidRDefault="00826A57" w:rsidP="00826A57">
            <w:pPr>
              <w:rPr>
                <w:b/>
                <w:bCs/>
                <w:sz w:val="22"/>
                <w:szCs w:val="22"/>
              </w:rPr>
            </w:pPr>
            <w:r w:rsidRPr="00826A57">
              <w:rPr>
                <w:b/>
                <w:bCs/>
                <w:sz w:val="22"/>
                <w:szCs w:val="22"/>
              </w:rPr>
              <w:t>Knowledge / Skills / Experience required</w:t>
            </w:r>
          </w:p>
        </w:tc>
      </w:tr>
      <w:tr w:rsidR="00826A57" w:rsidRPr="00826A57" w14:paraId="52220D11" w14:textId="77777777" w:rsidTr="00826A57">
        <w:trPr>
          <w:tblCellSpacing w:w="15" w:type="dxa"/>
        </w:trPr>
        <w:tc>
          <w:tcPr>
            <w:tcW w:w="4986" w:type="pct"/>
            <w:vAlign w:val="center"/>
            <w:hideMark/>
          </w:tcPr>
          <w:p w14:paraId="6558962D" w14:textId="77777777" w:rsidR="00826A57" w:rsidRPr="00826A57" w:rsidRDefault="00826A57" w:rsidP="00826A57">
            <w:pPr>
              <w:numPr>
                <w:ilvl w:val="0"/>
                <w:numId w:val="5"/>
              </w:numPr>
              <w:rPr>
                <w:sz w:val="22"/>
                <w:szCs w:val="22"/>
              </w:rPr>
            </w:pPr>
            <w:r w:rsidRPr="00826A57">
              <w:rPr>
                <w:sz w:val="22"/>
                <w:szCs w:val="22"/>
              </w:rPr>
              <w:t>Degree in a relevant subject or be able to demonstrate equivalent knowledge, skills, and proven experience in the related service area.</w:t>
            </w:r>
          </w:p>
          <w:p w14:paraId="12862819" w14:textId="77777777" w:rsidR="00826A57" w:rsidRPr="00826A57" w:rsidRDefault="00826A57" w:rsidP="00826A57">
            <w:pPr>
              <w:numPr>
                <w:ilvl w:val="0"/>
                <w:numId w:val="5"/>
              </w:numPr>
              <w:rPr>
                <w:sz w:val="22"/>
                <w:szCs w:val="22"/>
              </w:rPr>
            </w:pPr>
            <w:r w:rsidRPr="00826A57">
              <w:rPr>
                <w:sz w:val="22"/>
                <w:szCs w:val="22"/>
              </w:rPr>
              <w:lastRenderedPageBreak/>
              <w:t>Advanced knowledge of the public sector with specialist knowledge in a particular service area.</w:t>
            </w:r>
          </w:p>
          <w:p w14:paraId="3FBD0233" w14:textId="77777777" w:rsidR="00826A57" w:rsidRPr="00826A57" w:rsidRDefault="00826A57" w:rsidP="00826A57">
            <w:pPr>
              <w:numPr>
                <w:ilvl w:val="0"/>
                <w:numId w:val="5"/>
              </w:numPr>
              <w:rPr>
                <w:sz w:val="22"/>
                <w:szCs w:val="22"/>
              </w:rPr>
            </w:pPr>
            <w:r w:rsidRPr="00826A57">
              <w:rPr>
                <w:sz w:val="22"/>
                <w:szCs w:val="22"/>
              </w:rPr>
              <w:t>Understanding of Directorate objectives, as well as of Corporate Plan and Community Strategy.</w:t>
            </w:r>
          </w:p>
          <w:p w14:paraId="510A446E" w14:textId="77777777" w:rsidR="00826A57" w:rsidRPr="00826A57" w:rsidRDefault="00826A57" w:rsidP="00826A57">
            <w:pPr>
              <w:numPr>
                <w:ilvl w:val="0"/>
                <w:numId w:val="5"/>
              </w:numPr>
              <w:rPr>
                <w:sz w:val="22"/>
                <w:szCs w:val="22"/>
              </w:rPr>
            </w:pPr>
            <w:r w:rsidRPr="00826A57">
              <w:rPr>
                <w:sz w:val="22"/>
                <w:szCs w:val="22"/>
              </w:rPr>
              <w:t>Knowledge of national and regional policy and legislation relevant to the public sector and to the service area.</w:t>
            </w:r>
          </w:p>
          <w:p w14:paraId="11F00B00" w14:textId="77777777" w:rsidR="00826A57" w:rsidRPr="00826A57" w:rsidRDefault="00826A57" w:rsidP="00826A57">
            <w:pPr>
              <w:numPr>
                <w:ilvl w:val="0"/>
                <w:numId w:val="5"/>
              </w:numPr>
              <w:rPr>
                <w:sz w:val="22"/>
                <w:szCs w:val="22"/>
              </w:rPr>
            </w:pPr>
            <w:r w:rsidRPr="00826A57">
              <w:rPr>
                <w:sz w:val="22"/>
                <w:szCs w:val="22"/>
              </w:rPr>
              <w:t>Experience of operational management for a service.</w:t>
            </w:r>
          </w:p>
          <w:p w14:paraId="40E2CD13" w14:textId="77777777" w:rsidR="00826A57" w:rsidRPr="00826A57" w:rsidRDefault="00826A57" w:rsidP="00826A57">
            <w:pPr>
              <w:numPr>
                <w:ilvl w:val="0"/>
                <w:numId w:val="5"/>
              </w:numPr>
              <w:rPr>
                <w:sz w:val="22"/>
                <w:szCs w:val="22"/>
              </w:rPr>
            </w:pPr>
            <w:r w:rsidRPr="00826A57">
              <w:rPr>
                <w:sz w:val="22"/>
                <w:szCs w:val="22"/>
              </w:rPr>
              <w:t>Experience of leading teams.</w:t>
            </w:r>
          </w:p>
          <w:p w14:paraId="57E23615" w14:textId="77777777" w:rsidR="00826A57" w:rsidRPr="00826A57" w:rsidRDefault="00826A57" w:rsidP="00826A57">
            <w:pPr>
              <w:numPr>
                <w:ilvl w:val="0"/>
                <w:numId w:val="5"/>
              </w:numPr>
              <w:rPr>
                <w:sz w:val="22"/>
                <w:szCs w:val="22"/>
              </w:rPr>
            </w:pPr>
            <w:r w:rsidRPr="00826A57">
              <w:rPr>
                <w:sz w:val="22"/>
                <w:szCs w:val="22"/>
              </w:rPr>
              <w:t>Experience of leading large or complex projects.</w:t>
            </w:r>
          </w:p>
          <w:p w14:paraId="1C4197DA" w14:textId="77777777" w:rsidR="00826A57" w:rsidRPr="00826A57" w:rsidRDefault="00826A57" w:rsidP="00826A57">
            <w:pPr>
              <w:numPr>
                <w:ilvl w:val="0"/>
                <w:numId w:val="5"/>
              </w:numPr>
              <w:rPr>
                <w:sz w:val="22"/>
                <w:szCs w:val="22"/>
              </w:rPr>
            </w:pPr>
            <w:r w:rsidRPr="00826A57">
              <w:rPr>
                <w:sz w:val="22"/>
                <w:szCs w:val="22"/>
              </w:rPr>
              <w:t>Ability to lead and plan a service.</w:t>
            </w:r>
          </w:p>
          <w:p w14:paraId="1B6B3FF8" w14:textId="77777777" w:rsidR="00826A57" w:rsidRPr="00826A57" w:rsidRDefault="00826A57" w:rsidP="00826A57">
            <w:pPr>
              <w:numPr>
                <w:ilvl w:val="0"/>
                <w:numId w:val="5"/>
              </w:numPr>
              <w:rPr>
                <w:sz w:val="22"/>
                <w:szCs w:val="22"/>
              </w:rPr>
            </w:pPr>
            <w:r w:rsidRPr="00826A57">
              <w:rPr>
                <w:sz w:val="22"/>
                <w:szCs w:val="22"/>
              </w:rPr>
              <w:t>Ability to lead, manage and develop an operational team to deliver visible services.</w:t>
            </w:r>
          </w:p>
          <w:p w14:paraId="7C81C24A" w14:textId="77777777" w:rsidR="00826A57" w:rsidRPr="00826A57" w:rsidRDefault="00826A57" w:rsidP="00826A57">
            <w:pPr>
              <w:numPr>
                <w:ilvl w:val="0"/>
                <w:numId w:val="5"/>
              </w:numPr>
              <w:rPr>
                <w:sz w:val="22"/>
                <w:szCs w:val="22"/>
              </w:rPr>
            </w:pPr>
            <w:r w:rsidRPr="00826A57">
              <w:rPr>
                <w:sz w:val="22"/>
                <w:szCs w:val="22"/>
              </w:rPr>
              <w:t>Influencing and stakeholder management skills and the ability to build relationships with service users, colleagues, partners, and stakeholders.</w:t>
            </w:r>
          </w:p>
          <w:p w14:paraId="19078FBD" w14:textId="77777777" w:rsidR="00826A57" w:rsidRPr="00826A57" w:rsidRDefault="00826A57" w:rsidP="00826A57">
            <w:pPr>
              <w:numPr>
                <w:ilvl w:val="0"/>
                <w:numId w:val="5"/>
              </w:numPr>
              <w:rPr>
                <w:sz w:val="22"/>
                <w:szCs w:val="22"/>
              </w:rPr>
            </w:pPr>
            <w:r w:rsidRPr="00826A57">
              <w:rPr>
                <w:sz w:val="22"/>
                <w:szCs w:val="22"/>
              </w:rPr>
              <w:t>Proven financial management skills and commercial acumen.</w:t>
            </w:r>
          </w:p>
        </w:tc>
      </w:tr>
    </w:tbl>
    <w:p w14:paraId="7F5C22FC" w14:textId="77777777" w:rsidR="00826A57" w:rsidRPr="00826A57" w:rsidRDefault="00826A57" w:rsidP="00826A57">
      <w:pPr>
        <w:rPr>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26A57" w:rsidRPr="00826A57" w14:paraId="649EC74B" w14:textId="77777777" w:rsidTr="00826A57">
        <w:trPr>
          <w:tblCellSpacing w:w="15" w:type="dxa"/>
        </w:trPr>
        <w:tc>
          <w:tcPr>
            <w:tcW w:w="4986" w:type="pct"/>
            <w:vAlign w:val="center"/>
            <w:hideMark/>
          </w:tcPr>
          <w:p w14:paraId="0CB70746" w14:textId="77777777" w:rsidR="00826A57" w:rsidRPr="00826A57" w:rsidRDefault="00826A57" w:rsidP="00826A57">
            <w:pPr>
              <w:rPr>
                <w:b/>
                <w:bCs/>
                <w:sz w:val="22"/>
                <w:szCs w:val="22"/>
              </w:rPr>
            </w:pPr>
            <w:r w:rsidRPr="00826A57">
              <w:rPr>
                <w:b/>
                <w:bCs/>
                <w:sz w:val="22"/>
                <w:szCs w:val="22"/>
              </w:rPr>
              <w:t>Dimensions of role</w:t>
            </w:r>
          </w:p>
        </w:tc>
      </w:tr>
      <w:tr w:rsidR="00826A57" w:rsidRPr="00826A57" w14:paraId="4405EF31" w14:textId="77777777" w:rsidTr="00826A57">
        <w:trPr>
          <w:tblCellSpacing w:w="15" w:type="dxa"/>
        </w:trPr>
        <w:tc>
          <w:tcPr>
            <w:tcW w:w="4986" w:type="pct"/>
            <w:vAlign w:val="center"/>
            <w:hideMark/>
          </w:tcPr>
          <w:p w14:paraId="3A50714C" w14:textId="77777777" w:rsidR="00826A57" w:rsidRPr="00826A57" w:rsidRDefault="00826A57" w:rsidP="00826A57">
            <w:pPr>
              <w:numPr>
                <w:ilvl w:val="0"/>
                <w:numId w:val="6"/>
              </w:numPr>
              <w:rPr>
                <w:sz w:val="22"/>
                <w:szCs w:val="22"/>
              </w:rPr>
            </w:pPr>
            <w:r w:rsidRPr="00826A57">
              <w:rPr>
                <w:sz w:val="22"/>
                <w:szCs w:val="22"/>
              </w:rPr>
              <w:t>This role will manage a team delivering an operational service.</w:t>
            </w:r>
          </w:p>
          <w:p w14:paraId="3B173D69" w14:textId="77777777" w:rsidR="00826A57" w:rsidRPr="00826A57" w:rsidRDefault="00826A57" w:rsidP="00826A57">
            <w:pPr>
              <w:numPr>
                <w:ilvl w:val="0"/>
                <w:numId w:val="6"/>
              </w:numPr>
              <w:rPr>
                <w:sz w:val="22"/>
                <w:szCs w:val="22"/>
              </w:rPr>
            </w:pPr>
            <w:r w:rsidRPr="00826A57">
              <w:rPr>
                <w:sz w:val="22"/>
                <w:szCs w:val="22"/>
              </w:rPr>
              <w:t>The role will have responsibility for managing delegated budgets to drive efficiencies and support the financial health of the Council. They will have a controlling impact on resources and may help to develop additional funding or income.</w:t>
            </w:r>
          </w:p>
          <w:p w14:paraId="059BC5F5" w14:textId="77777777" w:rsidR="00826A57" w:rsidRPr="00826A57" w:rsidRDefault="00826A57" w:rsidP="00826A57">
            <w:pPr>
              <w:numPr>
                <w:ilvl w:val="0"/>
                <w:numId w:val="6"/>
              </w:numPr>
              <w:rPr>
                <w:sz w:val="22"/>
                <w:szCs w:val="22"/>
              </w:rPr>
            </w:pPr>
            <w:r w:rsidRPr="00826A57">
              <w:rPr>
                <w:sz w:val="22"/>
                <w:szCs w:val="22"/>
              </w:rPr>
              <w:t>Roles will have considerable scope for operational decision-making and will be expected to resource services, manage, and motivate teams and resolve problems, and translate policies into operating procedures.</w:t>
            </w:r>
          </w:p>
        </w:tc>
      </w:tr>
    </w:tbl>
    <w:p w14:paraId="1B7D4325" w14:textId="77777777" w:rsidR="00826A57" w:rsidRPr="00E51634" w:rsidRDefault="00826A57">
      <w:pPr>
        <w:rPr>
          <w:sz w:val="22"/>
          <w:szCs w:val="22"/>
        </w:rPr>
      </w:pPr>
    </w:p>
    <w:sectPr w:rsidR="00826A57"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7707"/>
    <w:multiLevelType w:val="multilevel"/>
    <w:tmpl w:val="541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53A66"/>
    <w:multiLevelType w:val="multilevel"/>
    <w:tmpl w:val="517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6947"/>
    <w:multiLevelType w:val="multilevel"/>
    <w:tmpl w:val="FB84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4FE1"/>
    <w:multiLevelType w:val="multilevel"/>
    <w:tmpl w:val="5E68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70091"/>
    <w:multiLevelType w:val="multilevel"/>
    <w:tmpl w:val="C010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87521"/>
    <w:multiLevelType w:val="multilevel"/>
    <w:tmpl w:val="642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194208">
    <w:abstractNumId w:val="2"/>
  </w:num>
  <w:num w:numId="2" w16cid:durableId="555895188">
    <w:abstractNumId w:val="0"/>
  </w:num>
  <w:num w:numId="3" w16cid:durableId="455681002">
    <w:abstractNumId w:val="5"/>
  </w:num>
  <w:num w:numId="4" w16cid:durableId="1292712195">
    <w:abstractNumId w:val="1"/>
  </w:num>
  <w:num w:numId="5" w16cid:durableId="1779829593">
    <w:abstractNumId w:val="3"/>
  </w:num>
  <w:num w:numId="6" w16cid:durableId="231283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57"/>
    <w:rsid w:val="00297024"/>
    <w:rsid w:val="00826A57"/>
    <w:rsid w:val="00CC3EAD"/>
    <w:rsid w:val="00E01E88"/>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C94B"/>
  <w15:chartTrackingRefBased/>
  <w15:docId w15:val="{59BDB6C9-704C-4813-ADC0-E460075F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A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A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6A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6A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A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A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A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A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A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6A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6A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A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A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A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A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A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6A57"/>
    <w:pPr>
      <w:spacing w:before="160"/>
      <w:jc w:val="center"/>
    </w:pPr>
    <w:rPr>
      <w:i/>
      <w:iCs/>
      <w:color w:val="404040" w:themeColor="text1" w:themeTint="BF"/>
    </w:rPr>
  </w:style>
  <w:style w:type="character" w:customStyle="1" w:styleId="QuoteChar">
    <w:name w:val="Quote Char"/>
    <w:basedOn w:val="DefaultParagraphFont"/>
    <w:link w:val="Quote"/>
    <w:uiPriority w:val="29"/>
    <w:rsid w:val="00826A57"/>
    <w:rPr>
      <w:i/>
      <w:iCs/>
      <w:color w:val="404040" w:themeColor="text1" w:themeTint="BF"/>
    </w:rPr>
  </w:style>
  <w:style w:type="paragraph" w:styleId="ListParagraph">
    <w:name w:val="List Paragraph"/>
    <w:basedOn w:val="Normal"/>
    <w:uiPriority w:val="34"/>
    <w:qFormat/>
    <w:rsid w:val="00826A57"/>
    <w:pPr>
      <w:ind w:left="720"/>
      <w:contextualSpacing/>
    </w:pPr>
  </w:style>
  <w:style w:type="character" w:styleId="IntenseEmphasis">
    <w:name w:val="Intense Emphasis"/>
    <w:basedOn w:val="DefaultParagraphFont"/>
    <w:uiPriority w:val="21"/>
    <w:qFormat/>
    <w:rsid w:val="00826A57"/>
    <w:rPr>
      <w:i/>
      <w:iCs/>
      <w:color w:val="0F4761" w:themeColor="accent1" w:themeShade="BF"/>
    </w:rPr>
  </w:style>
  <w:style w:type="paragraph" w:styleId="IntenseQuote">
    <w:name w:val="Intense Quote"/>
    <w:basedOn w:val="Normal"/>
    <w:next w:val="Normal"/>
    <w:link w:val="IntenseQuoteChar"/>
    <w:uiPriority w:val="30"/>
    <w:qFormat/>
    <w:rsid w:val="00826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A57"/>
    <w:rPr>
      <w:i/>
      <w:iCs/>
      <w:color w:val="0F4761" w:themeColor="accent1" w:themeShade="BF"/>
    </w:rPr>
  </w:style>
  <w:style w:type="character" w:styleId="IntenseReference">
    <w:name w:val="Intense Reference"/>
    <w:basedOn w:val="DefaultParagraphFont"/>
    <w:uiPriority w:val="32"/>
    <w:qFormat/>
    <w:rsid w:val="00826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2967</Characters>
  <Application>Microsoft Office Word</Application>
  <DocSecurity>0</DocSecurity>
  <Lines>57</Lines>
  <Paragraphs>35</Paragraphs>
  <ScaleCrop>false</ScaleCrop>
  <Company>BCP Council</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England</dc:creator>
  <cp:keywords/>
  <dc:description/>
  <cp:lastModifiedBy>Tanya England</cp:lastModifiedBy>
  <cp:revision>1</cp:revision>
  <dcterms:created xsi:type="dcterms:W3CDTF">2026-01-19T09:09:00Z</dcterms:created>
  <dcterms:modified xsi:type="dcterms:W3CDTF">2026-01-19T09:13:00Z</dcterms:modified>
</cp:coreProperties>
</file>