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0031" w14:textId="1733E3E8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bookmarkStart w:id="0" w:name="_GoBack"/>
      <w:bookmarkEnd w:id="0"/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692A1C35" w14:textId="17F8D4F4" w:rsidR="002A3B04" w:rsidRPr="00413080" w:rsidRDefault="006B0E30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6B0E30">
        <w:rPr>
          <w:b/>
          <w:color w:val="005596" w:themeColor="text2"/>
          <w:sz w:val="36"/>
          <w:szCs w:val="36"/>
        </w:rPr>
        <w:t xml:space="preserve">Manager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6B0E30">
        <w:rPr>
          <w:b/>
          <w:color w:val="005596" w:themeColor="text2"/>
          <w:sz w:val="36"/>
          <w:szCs w:val="36"/>
        </w:rPr>
        <w:t>Band K</w:t>
      </w:r>
    </w:p>
    <w:tbl>
      <w:tblPr>
        <w:tblStyle w:val="MediumList2-Accent1"/>
        <w:tblpPr w:leftFromText="180" w:rightFromText="180" w:vertAnchor="text" w:horzAnchor="margin" w:tblpY="615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194D4DEA" w14:textId="77777777" w:rsidTr="000C5C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0F89173E" w14:textId="77777777" w:rsidR="00FE0259" w:rsidRPr="005925D3" w:rsidRDefault="00FE0259" w:rsidP="00413080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7B3689" w:rsidRPr="000577D1" w14:paraId="35199A97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B2B9D0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48F360E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Manage a specialist team with the same or similar area of work (up to 15 employees)</w:t>
            </w:r>
            <w:r w:rsidR="0025259F" w:rsidRPr="005C6822">
              <w:rPr>
                <w:rFonts w:cs="Arial"/>
                <w:color w:val="auto"/>
                <w:szCs w:val="22"/>
              </w:rPr>
              <w:t xml:space="preserve"> o</w:t>
            </w:r>
            <w:r w:rsidR="0025259F" w:rsidRPr="005C6822">
              <w:rPr>
                <w:rFonts w:cs="Arial"/>
                <w:szCs w:val="22"/>
              </w:rPr>
              <w:t>r m</w:t>
            </w:r>
            <w:r w:rsidR="0025259F" w:rsidRPr="005C6822">
              <w:rPr>
                <w:szCs w:val="22"/>
              </w:rPr>
              <w:t>anage a large team of operational staff (between 16 and 49 employees)</w:t>
            </w:r>
          </w:p>
        </w:tc>
      </w:tr>
      <w:tr w:rsidR="007B3689" w:rsidRPr="000577D1" w14:paraId="11B1A264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24C7516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4ABDA" w14:textId="77777777" w:rsidR="007B3689" w:rsidRPr="005C6822" w:rsidRDefault="007B3689" w:rsidP="00DB78E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 xml:space="preserve">Manage the continual </w:t>
            </w:r>
            <w:r w:rsidR="00DB78E7" w:rsidRPr="005C6822">
              <w:rPr>
                <w:rFonts w:cs="Arial"/>
                <w:color w:val="auto"/>
                <w:szCs w:val="22"/>
              </w:rPr>
              <w:t xml:space="preserve">professional </w:t>
            </w:r>
            <w:r w:rsidRPr="005C6822">
              <w:rPr>
                <w:rFonts w:cs="Arial"/>
                <w:color w:val="auto"/>
                <w:szCs w:val="22"/>
              </w:rPr>
              <w:t xml:space="preserve">development of </w:t>
            </w:r>
            <w:r w:rsidR="00DB78E7" w:rsidRPr="005C6822">
              <w:rPr>
                <w:rFonts w:cs="Arial"/>
                <w:color w:val="auto"/>
                <w:szCs w:val="22"/>
              </w:rPr>
              <w:t>the team</w:t>
            </w:r>
            <w:r w:rsidRPr="005C6822">
              <w:rPr>
                <w:rFonts w:cs="Arial"/>
                <w:color w:val="auto"/>
                <w:szCs w:val="22"/>
              </w:rPr>
              <w:t xml:space="preserve"> to achieve service aims</w:t>
            </w:r>
            <w:r w:rsidR="00DB78E7" w:rsidRPr="005C6822">
              <w:rPr>
                <w:rFonts w:cs="Arial"/>
                <w:color w:val="auto"/>
                <w:szCs w:val="22"/>
              </w:rPr>
              <w:t xml:space="preserve"> and ensure statutory and best practice outcomes are achieved</w:t>
            </w:r>
          </w:p>
        </w:tc>
      </w:tr>
      <w:tr w:rsidR="007B3689" w:rsidRPr="000577D1" w14:paraId="4DA89351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66AF81C9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612E358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Understand the importance of diverse talent during recruitment and development practices</w:t>
            </w:r>
          </w:p>
        </w:tc>
      </w:tr>
      <w:tr w:rsidR="007B3689" w:rsidRPr="000577D1" w14:paraId="68E4AD81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57285714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1A16D23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color w:val="auto"/>
                <w:szCs w:val="22"/>
              </w:rPr>
              <w:t>Celebrate team contributions and successes</w:t>
            </w:r>
          </w:p>
        </w:tc>
      </w:tr>
      <w:tr w:rsidR="007B3689" w:rsidRPr="000577D1" w14:paraId="5B4CB86C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7E12D3E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4917546" w14:textId="77777777" w:rsidR="007B3689" w:rsidRPr="005C6822" w:rsidRDefault="001423C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color w:val="auto"/>
                <w:szCs w:val="22"/>
              </w:rPr>
              <w:t>Role model enthusiasm and commitment to delivering excellent services which have considered the diverse needs of customers</w:t>
            </w:r>
          </w:p>
        </w:tc>
      </w:tr>
      <w:tr w:rsidR="007B3689" w:rsidRPr="000577D1" w14:paraId="2AD136C6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94BF7B4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26A8084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color w:val="auto"/>
                <w:szCs w:val="22"/>
              </w:rPr>
              <w:t>Understand and address performance issues promptly providing continuous feedback</w:t>
            </w:r>
          </w:p>
        </w:tc>
      </w:tr>
      <w:tr w:rsidR="007B3689" w:rsidRPr="000577D1" w14:paraId="207521C0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2F1635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2473C5A6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8723558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Relevant degree (or equivalent experience)</w:t>
            </w:r>
          </w:p>
        </w:tc>
      </w:tr>
      <w:tr w:rsidR="007B3689" w:rsidRPr="000577D1" w14:paraId="682ABA86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89C7FBE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6DD7052" w14:textId="77777777" w:rsidR="007B3689" w:rsidRPr="005C6822" w:rsidRDefault="007B3689" w:rsidP="00744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color w:val="auto"/>
                <w:szCs w:val="22"/>
              </w:rPr>
              <w:t>Management qualification (or equivalent experience)</w:t>
            </w:r>
          </w:p>
        </w:tc>
      </w:tr>
      <w:tr w:rsidR="0025259F" w:rsidRPr="000577D1" w14:paraId="7D2F31D1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A42A47C" w14:textId="77777777" w:rsidR="0025259F" w:rsidRPr="00413080" w:rsidRDefault="0025259F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9AD01E9" w14:textId="77777777" w:rsidR="0025259F" w:rsidRPr="005C6822" w:rsidRDefault="0025259F" w:rsidP="0074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szCs w:val="22"/>
              </w:rPr>
              <w:t>Relevant professional qualification (or equivalent experience) with clearly evidenced continuous professional development</w:t>
            </w:r>
          </w:p>
        </w:tc>
      </w:tr>
      <w:tr w:rsidR="007B3689" w:rsidRPr="000577D1" w14:paraId="40BB58FD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1697079A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B0B6F58" w14:textId="77777777" w:rsidR="007B3689" w:rsidRPr="005C6822" w:rsidRDefault="0025259F" w:rsidP="0025259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Well developed and a</w:t>
            </w:r>
            <w:r w:rsidR="007B3689" w:rsidRPr="005C6822">
              <w:rPr>
                <w:rFonts w:cs="Arial"/>
                <w:szCs w:val="22"/>
              </w:rPr>
              <w:t xml:space="preserve">uthoritative knowledge of the work practices, processes and procedures (including legal and regulatory requirements and the risks of </w:t>
            </w:r>
            <w:proofErr w:type="gramStart"/>
            <w:r w:rsidR="007B3689" w:rsidRPr="005C6822">
              <w:rPr>
                <w:rFonts w:cs="Arial"/>
                <w:szCs w:val="22"/>
              </w:rPr>
              <w:t>non compliance</w:t>
            </w:r>
            <w:proofErr w:type="gramEnd"/>
            <w:r w:rsidR="007B3689" w:rsidRPr="005C6822">
              <w:rPr>
                <w:rFonts w:cs="Arial"/>
                <w:szCs w:val="22"/>
              </w:rPr>
              <w:t>) relevant to the service, including broader commercial awareness</w:t>
            </w:r>
          </w:p>
        </w:tc>
      </w:tr>
      <w:tr w:rsidR="007B3689" w:rsidRPr="000577D1" w14:paraId="04C0C975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6E51A977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DDF25FA" w14:textId="77777777" w:rsidR="007B3689" w:rsidRPr="005C6822" w:rsidRDefault="007B3689" w:rsidP="0074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color w:val="auto"/>
                <w:szCs w:val="22"/>
              </w:rPr>
              <w:t>Analyse data and interpret customer information to produce reports that will inform service design</w:t>
            </w:r>
          </w:p>
        </w:tc>
      </w:tr>
      <w:tr w:rsidR="007B3689" w:rsidRPr="000577D1" w14:paraId="6688A110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2FD349D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76D86431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color w:val="auto"/>
                <w:szCs w:val="22"/>
              </w:rPr>
              <w:t>Presentation of own or teams work in a focussed and engaging way</w:t>
            </w:r>
          </w:p>
        </w:tc>
      </w:tr>
      <w:tr w:rsidR="007B3689" w:rsidRPr="000577D1" w14:paraId="7ACD0BE7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297C6FE" w14:textId="77777777" w:rsidR="007B3689" w:rsidRPr="00413080" w:rsidRDefault="007B368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3B9D27E" w14:textId="77777777" w:rsidR="007B3689" w:rsidRPr="005C6822" w:rsidRDefault="007B368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color w:val="auto"/>
                <w:szCs w:val="22"/>
              </w:rPr>
              <w:t>Complaint handling skills with the ability to respond to escalated customer issues</w:t>
            </w:r>
          </w:p>
        </w:tc>
      </w:tr>
      <w:tr w:rsidR="004954B9" w:rsidRPr="000577D1" w14:paraId="7A081070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274E9ED8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E309D1D" w14:textId="77777777" w:rsidR="004954B9" w:rsidRPr="005C6822" w:rsidRDefault="004954B9" w:rsidP="0074460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May manage budgets, resources and funding</w:t>
            </w:r>
          </w:p>
        </w:tc>
      </w:tr>
      <w:tr w:rsidR="004954B9" w:rsidRPr="000577D1" w14:paraId="350CC029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226B8DA7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32607FA" w14:textId="77777777" w:rsidR="004954B9" w:rsidRPr="005C6822" w:rsidRDefault="004954B9" w:rsidP="007446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Knowledge of effective change and stakeholder management principles</w:t>
            </w:r>
          </w:p>
        </w:tc>
      </w:tr>
      <w:tr w:rsidR="004954B9" w:rsidRPr="000577D1" w14:paraId="28ED937D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34C387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3DFBB2" w14:textId="77777777" w:rsidR="004954B9" w:rsidRPr="005C6822" w:rsidRDefault="004954B9" w:rsidP="0074460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Use effective interpersonal skills to develop solutions to complex or contentious problems where there are a range of options and the information is unclear or conflicting</w:t>
            </w:r>
          </w:p>
        </w:tc>
      </w:tr>
      <w:tr w:rsidR="004954B9" w:rsidRPr="000577D1" w14:paraId="249B5311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D3FE240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6D781CC" w14:textId="77777777" w:rsidR="004954B9" w:rsidRPr="005C6822" w:rsidRDefault="004954B9" w:rsidP="00744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szCs w:val="22"/>
              </w:rPr>
              <w:t>Work in partnership with other areas to identify, recommend, and develop improvements to the efficiency and continuity of own service</w:t>
            </w:r>
          </w:p>
        </w:tc>
      </w:tr>
      <w:tr w:rsidR="004954B9" w:rsidRPr="000577D1" w14:paraId="1FBACBB9" w14:textId="77777777" w:rsidTr="000C5C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5CE727D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C0B11E9" w14:textId="77777777" w:rsidR="004954B9" w:rsidRPr="005C6822" w:rsidRDefault="004954B9" w:rsidP="007446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Encourage and recognise creativity and innovation in own team in relation to business as usual and new commercial opportunities</w:t>
            </w:r>
          </w:p>
        </w:tc>
      </w:tr>
      <w:tr w:rsidR="004954B9" w:rsidRPr="000577D1" w14:paraId="5C72ECD4" w14:textId="77777777" w:rsidTr="0014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4" w:space="0" w:color="auto"/>
            </w:tcBorders>
          </w:tcPr>
          <w:p w14:paraId="5C2634E6" w14:textId="77777777" w:rsidR="004954B9" w:rsidRPr="00413080" w:rsidRDefault="004954B9" w:rsidP="00413080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0C83A57" w14:textId="77777777" w:rsidR="004954B9" w:rsidRPr="005C6822" w:rsidRDefault="004954B9" w:rsidP="0049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szCs w:val="22"/>
              </w:rPr>
              <w:t>Shape the strategic direction of own area by recommending and implementing change using information and data from customers</w:t>
            </w:r>
          </w:p>
        </w:tc>
      </w:tr>
      <w:tr w:rsidR="001423C9" w:rsidRPr="000577D1" w14:paraId="1DDB0F83" w14:textId="77777777" w:rsidTr="001423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F456F5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8DBF5" w14:textId="77777777" w:rsidR="001423C9" w:rsidRPr="005C6822" w:rsidRDefault="00DB78E7" w:rsidP="00DB78E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Cs w:val="22"/>
              </w:rPr>
            </w:pPr>
            <w:r w:rsidRPr="005C6822">
              <w:rPr>
                <w:rFonts w:cs="Arial"/>
                <w:szCs w:val="22"/>
              </w:rPr>
              <w:t>Develop relationships with customers which will have a direct impact on the service</w:t>
            </w:r>
          </w:p>
        </w:tc>
      </w:tr>
      <w:tr w:rsidR="001423C9" w:rsidRPr="000577D1" w14:paraId="2C614EB1" w14:textId="77777777" w:rsidTr="00142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7EECF55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F94D94E" w14:textId="77777777" w:rsidR="001423C9" w:rsidRPr="005C6822" w:rsidRDefault="001423C9" w:rsidP="001423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Seek and develop partnerships to achieve collective objectives and help to overcome any barriers to joint working</w:t>
            </w:r>
          </w:p>
        </w:tc>
      </w:tr>
      <w:tr w:rsidR="001423C9" w:rsidRPr="000577D1" w14:paraId="7EF152DE" w14:textId="77777777" w:rsidTr="00495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C14AF79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09C8043" w14:textId="77777777" w:rsidR="001423C9" w:rsidRPr="005C6822" w:rsidRDefault="001423C9" w:rsidP="00142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Represent and promote the service, providing specialist input and handling questions or objections</w:t>
            </w:r>
          </w:p>
        </w:tc>
      </w:tr>
      <w:tr w:rsidR="001423C9" w:rsidRPr="000577D1" w14:paraId="2738A188" w14:textId="77777777" w:rsidTr="0049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B050843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1A9E52" w14:textId="77777777" w:rsidR="001423C9" w:rsidRPr="005C6822" w:rsidRDefault="001423C9" w:rsidP="00142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Build and present a case, influencing and engaging with stakeholders who may have differing opinions</w:t>
            </w:r>
          </w:p>
        </w:tc>
      </w:tr>
      <w:tr w:rsidR="001423C9" w:rsidRPr="000577D1" w14:paraId="5D98A46D" w14:textId="77777777" w:rsidTr="004954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99ADE8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B16C68" w14:textId="77777777" w:rsidR="001423C9" w:rsidRPr="005C6822" w:rsidRDefault="001423C9" w:rsidP="00142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Accountable for the delivery and performance of own team against current and future objectives</w:t>
            </w:r>
          </w:p>
        </w:tc>
      </w:tr>
      <w:tr w:rsidR="001423C9" w:rsidRPr="000577D1" w14:paraId="1BABBA3E" w14:textId="77777777" w:rsidTr="000C5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3E8D0D9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5A0FA36" w14:textId="77777777" w:rsidR="001423C9" w:rsidRPr="005C6822" w:rsidRDefault="001423C9" w:rsidP="00142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color w:val="auto"/>
                <w:szCs w:val="22"/>
              </w:rPr>
              <w:t>Make evidence based and outcome focussed decisions using proactive risk management to ensure the quality of the service is maintained</w:t>
            </w:r>
          </w:p>
        </w:tc>
      </w:tr>
      <w:tr w:rsidR="001423C9" w:rsidRPr="000577D1" w14:paraId="10FFEBF3" w14:textId="77777777" w:rsidTr="000577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2614A116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0748431" w14:textId="77777777" w:rsidR="001423C9" w:rsidRPr="005C6822" w:rsidRDefault="001423C9" w:rsidP="00142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5C6822">
              <w:rPr>
                <w:rFonts w:cs="Arial"/>
                <w:szCs w:val="22"/>
              </w:rPr>
              <w:t>Manage and use allocated budget and resource effectively and flexibly to ensure delivery of service objectives within budget and suggest any opportunities to generate income</w:t>
            </w:r>
          </w:p>
        </w:tc>
      </w:tr>
      <w:tr w:rsidR="001423C9" w:rsidRPr="000577D1" w14:paraId="14F217DD" w14:textId="77777777" w:rsidTr="00057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0B79D5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4DBA54" w14:textId="77777777" w:rsidR="001423C9" w:rsidRPr="005C6822" w:rsidRDefault="001423C9" w:rsidP="00142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Set clear and realistic objectives for others ensuring they fit with the service plans; monitor progress against objectives and provide feedback</w:t>
            </w:r>
          </w:p>
        </w:tc>
      </w:tr>
      <w:tr w:rsidR="001423C9" w:rsidRPr="000577D1" w14:paraId="384D4992" w14:textId="77777777" w:rsidTr="00252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68A299E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D6B4BF2" w14:textId="77777777" w:rsidR="001423C9" w:rsidRPr="005C6822" w:rsidRDefault="001423C9" w:rsidP="00142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Cs w:val="22"/>
              </w:rPr>
            </w:pPr>
            <w:r w:rsidRPr="005C6822">
              <w:rPr>
                <w:rFonts w:cs="Arial"/>
                <w:color w:val="auto"/>
                <w:szCs w:val="22"/>
              </w:rPr>
              <w:t>Prioritise workload in an environment of change and where there are competing demands</w:t>
            </w:r>
          </w:p>
        </w:tc>
      </w:tr>
      <w:tr w:rsidR="001423C9" w:rsidRPr="000577D1" w14:paraId="12E99F77" w14:textId="77777777" w:rsidTr="00252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80C4AE5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AA1F966" w14:textId="77777777" w:rsidR="001423C9" w:rsidRPr="005C6822" w:rsidRDefault="001423C9" w:rsidP="00142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color w:val="auto"/>
                <w:szCs w:val="22"/>
              </w:rPr>
              <w:t>Use relevant information to anticipate potential problems and ensure the continuity of service is maintained</w:t>
            </w:r>
          </w:p>
        </w:tc>
      </w:tr>
      <w:tr w:rsidR="001423C9" w:rsidRPr="000577D1" w14:paraId="6E42BF8D" w14:textId="77777777" w:rsidTr="00252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279750CE" w14:textId="77777777" w:rsidR="001423C9" w:rsidRPr="00413080" w:rsidRDefault="001423C9" w:rsidP="001423C9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03A7A1" w14:textId="77777777" w:rsidR="001423C9" w:rsidRPr="005C6822" w:rsidRDefault="001423C9" w:rsidP="00142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5C6822">
              <w:rPr>
                <w:rFonts w:cs="Arial"/>
                <w:szCs w:val="22"/>
              </w:rPr>
              <w:t xml:space="preserve">Plan and organise the activities of others, considering both </w:t>
            </w:r>
            <w:proofErr w:type="gramStart"/>
            <w:r w:rsidRPr="005C6822">
              <w:rPr>
                <w:rFonts w:cs="Arial"/>
                <w:szCs w:val="22"/>
              </w:rPr>
              <w:t>short and long term</w:t>
            </w:r>
            <w:proofErr w:type="gramEnd"/>
            <w:r w:rsidRPr="005C6822">
              <w:rPr>
                <w:rFonts w:cs="Arial"/>
                <w:szCs w:val="22"/>
              </w:rPr>
              <w:t xml:space="preserve"> implications to ensure strategic direction is supported</w:t>
            </w:r>
          </w:p>
        </w:tc>
      </w:tr>
    </w:tbl>
    <w:p w14:paraId="11BB6C00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3892" w14:textId="77777777" w:rsidR="00415901" w:rsidRDefault="00415901" w:rsidP="00415901">
      <w:r>
        <w:separator/>
      </w:r>
    </w:p>
  </w:endnote>
  <w:endnote w:type="continuationSeparator" w:id="0">
    <w:p w14:paraId="64F1C4AA" w14:textId="77777777" w:rsidR="00415901" w:rsidRDefault="00415901" w:rsidP="0041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191D" w14:textId="77777777" w:rsidR="00415901" w:rsidRDefault="00415901">
    <w:pPr>
      <w:pStyle w:val="Footer"/>
    </w:pPr>
  </w:p>
  <w:p w14:paraId="1422F99E" w14:textId="77777777" w:rsidR="00DF1C83" w:rsidRDefault="00DF1C83" w:rsidP="00DF1C8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B4185" w14:textId="77777777" w:rsidR="00415901" w:rsidRDefault="00415901" w:rsidP="00415901">
      <w:r>
        <w:separator/>
      </w:r>
    </w:p>
  </w:footnote>
  <w:footnote w:type="continuationSeparator" w:id="0">
    <w:p w14:paraId="00B33DCA" w14:textId="77777777" w:rsidR="00415901" w:rsidRDefault="00415901" w:rsidP="0041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>
      <o:colormenu v:ext="edit" fillcolor="none [273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4D04"/>
    <w:rsid w:val="000577D1"/>
    <w:rsid w:val="00057D26"/>
    <w:rsid w:val="000C5C3F"/>
    <w:rsid w:val="001423C9"/>
    <w:rsid w:val="001640C4"/>
    <w:rsid w:val="00221B0E"/>
    <w:rsid w:val="0025259F"/>
    <w:rsid w:val="002545FB"/>
    <w:rsid w:val="002A3B04"/>
    <w:rsid w:val="002C732A"/>
    <w:rsid w:val="003151F5"/>
    <w:rsid w:val="003673B6"/>
    <w:rsid w:val="00371CD4"/>
    <w:rsid w:val="00376724"/>
    <w:rsid w:val="003B144C"/>
    <w:rsid w:val="00413080"/>
    <w:rsid w:val="00415901"/>
    <w:rsid w:val="00472E55"/>
    <w:rsid w:val="004954B9"/>
    <w:rsid w:val="005214F3"/>
    <w:rsid w:val="005925D3"/>
    <w:rsid w:val="005A350A"/>
    <w:rsid w:val="005C6822"/>
    <w:rsid w:val="005D7ACE"/>
    <w:rsid w:val="006B0E30"/>
    <w:rsid w:val="006F0FB7"/>
    <w:rsid w:val="0071002E"/>
    <w:rsid w:val="007A1E08"/>
    <w:rsid w:val="007B3689"/>
    <w:rsid w:val="00936453"/>
    <w:rsid w:val="00942969"/>
    <w:rsid w:val="00962E01"/>
    <w:rsid w:val="009B57CB"/>
    <w:rsid w:val="009F2B5B"/>
    <w:rsid w:val="00A92CCA"/>
    <w:rsid w:val="00B22BC5"/>
    <w:rsid w:val="00B3775A"/>
    <w:rsid w:val="00B77BB1"/>
    <w:rsid w:val="00BA09B0"/>
    <w:rsid w:val="00C26D71"/>
    <w:rsid w:val="00D31BF6"/>
    <w:rsid w:val="00D53151"/>
    <w:rsid w:val="00D874BC"/>
    <w:rsid w:val="00D92867"/>
    <w:rsid w:val="00DB78E7"/>
    <w:rsid w:val="00DF1C83"/>
    <w:rsid w:val="00DF2E4C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671BB0C0"/>
  <w15:docId w15:val="{873247E2-2804-40F1-A5D7-35FC744B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9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01"/>
  </w:style>
  <w:style w:type="paragraph" w:styleId="Footer">
    <w:name w:val="footer"/>
    <w:basedOn w:val="Normal"/>
    <w:link w:val="FooterChar"/>
    <w:uiPriority w:val="99"/>
    <w:unhideWhenUsed/>
    <w:rsid w:val="004159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_x002f__x0020_Guidance xmlns="84000144-e488-4307-a2dd-d5b5aac3df3e">Guidance</Policy_x0020__x002f__x0020_Guidance>
    <Category xmlns="84000144-e488-4307-a2dd-d5b5aac3df3e">Pay Pensions &amp; Benefits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E9397B0620A43B2BC95CD5CA6E719" ma:contentTypeVersion="9" ma:contentTypeDescription="Create a new document." ma:contentTypeScope="" ma:versionID="b9ab6771028d0e0a4ddbe64e5b25aadd">
  <xsd:schema xmlns:xsd="http://www.w3.org/2001/XMLSchema" xmlns:xs="http://www.w3.org/2001/XMLSchema" xmlns:p="http://schemas.microsoft.com/office/2006/metadata/properties" xmlns:ns2="84000144-e488-4307-a2dd-d5b5aac3df3e" xmlns:ns3="18435359-ef2f-47a7-bb7d-d8773fbac701" targetNamespace="http://schemas.microsoft.com/office/2006/metadata/properties" ma:root="true" ma:fieldsID="464f4d33c65cc913882e494514508b26" ns2:_="" ns3:_="">
    <xsd:import namespace="84000144-e488-4307-a2dd-d5b5aac3df3e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Policy_x0020__x002f__x0020_Guidan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0144-e488-4307-a2dd-d5b5aac3df3e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Policy_x0020__x002f__x0020_Guidance" ma:index="7" nillable="true" ma:displayName="Policy / Guidance" ma:format="Dropdown" ma:internalName="Policy_x0020__x002f__x0020_Guidance" ma:readOnly="false">
      <xsd:simpleType>
        <xsd:restriction base="dms:Choice">
          <xsd:enumeration value="Policy"/>
          <xsd:enumeration value="Guid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EF295-6AA2-418F-91F7-CC79C3F48D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435359-ef2f-47a7-bb7d-d8773fbac701"/>
    <ds:schemaRef ds:uri="84000144-e488-4307-a2dd-d5b5aac3df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89665C-BA65-42A9-A48D-F9D5B5321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86B1C-80DF-44AD-B806-F72F9C4A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00144-e488-4307-a2dd-d5b5aac3df3e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Debbie Brackstone</cp:lastModifiedBy>
  <cp:revision>2</cp:revision>
  <cp:lastPrinted>2017-08-15T11:04:00Z</cp:lastPrinted>
  <dcterms:created xsi:type="dcterms:W3CDTF">2020-03-04T17:09:00Z</dcterms:created>
  <dcterms:modified xsi:type="dcterms:W3CDTF">2020-03-04T17:09:00Z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0x010100374E9397B0620A43B2BC95CD5CA6E719</vt:lpwstr>
  </property>
</Properties>
</file>